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3435B" w14:textId="77777777" w:rsidR="004C79C1" w:rsidRPr="004C79C1" w:rsidRDefault="004C79C1" w:rsidP="004C79C1">
      <w:pPr>
        <w:jc w:val="center"/>
        <w:rPr>
          <w:b/>
        </w:rPr>
      </w:pPr>
      <w:r w:rsidRPr="004C79C1">
        <w:rPr>
          <w:b/>
        </w:rPr>
        <w:t>FAQ</w:t>
      </w:r>
    </w:p>
    <w:p w14:paraId="603BE880" w14:textId="77777777" w:rsidR="004C79C1" w:rsidRPr="004C79C1" w:rsidRDefault="004C79C1" w:rsidP="004C79C1">
      <w:pPr>
        <w:jc w:val="center"/>
        <w:rPr>
          <w:b/>
        </w:rPr>
      </w:pPr>
      <w:r w:rsidRPr="004C79C1">
        <w:rPr>
          <w:b/>
        </w:rPr>
        <w:t>Formation « RTGS » du 23/09/21</w:t>
      </w:r>
    </w:p>
    <w:p w14:paraId="75536CA9" w14:textId="77777777" w:rsidR="004C79C1" w:rsidRDefault="004C79C1" w:rsidP="00FB32D1">
      <w:pPr>
        <w:rPr>
          <w:u w:val="single"/>
        </w:rPr>
      </w:pPr>
    </w:p>
    <w:p w14:paraId="1C7C7A65" w14:textId="77777777" w:rsidR="00FB32D1" w:rsidRPr="004C79C1" w:rsidRDefault="00FB32D1" w:rsidP="004C79C1">
      <w:pPr>
        <w:jc w:val="both"/>
        <w:rPr>
          <w:u w:val="single"/>
        </w:rPr>
      </w:pPr>
      <w:r w:rsidRPr="004C79C1">
        <w:rPr>
          <w:u w:val="single"/>
        </w:rPr>
        <w:t xml:space="preserve">Pouvez-vous nous fournir la liste des systèmes exogènes utilisant la procédure C ? </w:t>
      </w:r>
    </w:p>
    <w:p w14:paraId="6E7036DA" w14:textId="76F32E8F" w:rsidR="00FB32D1" w:rsidRDefault="00F3216C" w:rsidP="004C79C1">
      <w:pPr>
        <w:jc w:val="both"/>
      </w:pPr>
      <w:r>
        <w:t xml:space="preserve">Côté BDF, aucun </w:t>
      </w:r>
      <w:r w:rsidR="00C479F6">
        <w:t>SE ne devrait a priori utiliser cette procédure</w:t>
      </w:r>
      <w:r w:rsidR="004C79C1">
        <w:t>.</w:t>
      </w:r>
      <w:r>
        <w:t xml:space="preserve"> La liste des </w:t>
      </w:r>
      <w:r w:rsidR="00505C3B">
        <w:t>systèmes</w:t>
      </w:r>
      <w:r>
        <w:t xml:space="preserve"> </w:t>
      </w:r>
      <w:r w:rsidR="00505C3B">
        <w:t>exogènes</w:t>
      </w:r>
      <w:r>
        <w:t xml:space="preserve"> et des procédures utilisées par chacun est disponible sur le site de la BCE</w:t>
      </w:r>
      <w:r w:rsidR="00505C3B">
        <w:t xml:space="preserve"> (en cours de mise à jour): </w:t>
      </w:r>
      <w:hyperlink r:id="rId7" w:history="1">
        <w:r w:rsidR="00505C3B" w:rsidRPr="003C5579">
          <w:rPr>
            <w:rStyle w:val="Lienhypertexte"/>
          </w:rPr>
          <w:t>https://www.ecb.europa.eu/paym/target/shared/xlsx/ancillary_systems_procedures_for_t2.xlsx</w:t>
        </w:r>
      </w:hyperlink>
      <w:r w:rsidR="00505C3B">
        <w:t xml:space="preserve"> </w:t>
      </w:r>
      <w:r>
        <w:t xml:space="preserve"> </w:t>
      </w:r>
    </w:p>
    <w:p w14:paraId="61F531F1" w14:textId="77777777" w:rsidR="00FB32D1" w:rsidRDefault="00FB32D1" w:rsidP="004C79C1">
      <w:pPr>
        <w:jc w:val="both"/>
      </w:pPr>
    </w:p>
    <w:p w14:paraId="1689E85C" w14:textId="6769F736" w:rsidR="00FB32D1" w:rsidRPr="004C79C1" w:rsidRDefault="00FB32D1" w:rsidP="004C79C1">
      <w:pPr>
        <w:jc w:val="both"/>
        <w:rPr>
          <w:u w:val="single"/>
        </w:rPr>
      </w:pPr>
      <w:r w:rsidRPr="004C79C1">
        <w:rPr>
          <w:u w:val="single"/>
        </w:rPr>
        <w:t>Dans le cadre de la participation direct</w:t>
      </w:r>
      <w:r w:rsidR="00F3216C">
        <w:rPr>
          <w:u w:val="single"/>
        </w:rPr>
        <w:t>e</w:t>
      </w:r>
      <w:r w:rsidRPr="004C79C1">
        <w:rPr>
          <w:u w:val="single"/>
        </w:rPr>
        <w:t xml:space="preserve">, comment est matérialisé le rapprochement comptable ? </w:t>
      </w:r>
    </w:p>
    <w:p w14:paraId="43A3C3EC" w14:textId="02D2EA06" w:rsidR="00FB32D1" w:rsidRDefault="00FB32D1" w:rsidP="004C79C1">
      <w:pPr>
        <w:jc w:val="both"/>
      </w:pPr>
      <w:r>
        <w:t xml:space="preserve">Ce sont vos systèmes qui assurent ce rapprochement, </w:t>
      </w:r>
      <w:r w:rsidR="00F3216C">
        <w:t>le détenteur du compte recevra</w:t>
      </w:r>
      <w:r>
        <w:t xml:space="preserve"> des camt</w:t>
      </w:r>
      <w:r w:rsidR="00A553B2">
        <w:t>.053 (relevé de compte)</w:t>
      </w:r>
      <w:r>
        <w:t xml:space="preserve"> qui vous permettront de faire ce rapprochement. </w:t>
      </w:r>
    </w:p>
    <w:p w14:paraId="7CA01EE8" w14:textId="77777777" w:rsidR="00FB32D1" w:rsidRDefault="00FB32D1" w:rsidP="004C79C1">
      <w:pPr>
        <w:jc w:val="both"/>
      </w:pPr>
    </w:p>
    <w:p w14:paraId="25CE92E2" w14:textId="77777777" w:rsidR="00FB32D1" w:rsidRPr="004C79C1" w:rsidRDefault="00FB32D1" w:rsidP="004C79C1">
      <w:pPr>
        <w:jc w:val="both"/>
        <w:rPr>
          <w:u w:val="single"/>
        </w:rPr>
      </w:pPr>
      <w:r w:rsidRPr="004C79C1">
        <w:rPr>
          <w:u w:val="single"/>
        </w:rPr>
        <w:t xml:space="preserve">Sera-t-il toujours possible d’envoyer l’équivalent des MT103 avec </w:t>
      </w:r>
      <w:proofErr w:type="spellStart"/>
      <w:r w:rsidRPr="004C79C1">
        <w:rPr>
          <w:u w:val="single"/>
        </w:rPr>
        <w:t>PoA</w:t>
      </w:r>
      <w:proofErr w:type="spellEnd"/>
      <w:r w:rsidRPr="004C79C1">
        <w:rPr>
          <w:u w:val="single"/>
        </w:rPr>
        <w:t xml:space="preserve"> pour débiter le compte d’un client via TARGET ? </w:t>
      </w:r>
    </w:p>
    <w:p w14:paraId="00E5B176" w14:textId="77D250DC" w:rsidR="00FB32D1" w:rsidRDefault="00FB32D1" w:rsidP="004C79C1">
      <w:pPr>
        <w:jc w:val="both"/>
      </w:pPr>
      <w:r>
        <w:t xml:space="preserve">Oui, </w:t>
      </w:r>
      <w:r w:rsidR="00F3216C">
        <w:t>les virements clientèle seront au format</w:t>
      </w:r>
      <w:r w:rsidR="00B17AD3">
        <w:t xml:space="preserve"> pacs.008</w:t>
      </w:r>
      <w:r w:rsidR="00F3216C">
        <w:t xml:space="preserve"> dans RTGS</w:t>
      </w:r>
      <w:r w:rsidR="00B17AD3">
        <w:t>.</w:t>
      </w:r>
    </w:p>
    <w:p w14:paraId="06D5A8AE" w14:textId="77777777" w:rsidR="004C79C1" w:rsidRDefault="004C79C1" w:rsidP="004C79C1">
      <w:pPr>
        <w:jc w:val="both"/>
      </w:pPr>
    </w:p>
    <w:p w14:paraId="4DB4C027" w14:textId="77777777" w:rsidR="004C79C1" w:rsidRPr="004C79C1" w:rsidRDefault="004C79C1" w:rsidP="004C79C1">
      <w:pPr>
        <w:jc w:val="both"/>
        <w:rPr>
          <w:u w:val="single"/>
        </w:rPr>
      </w:pPr>
      <w:r w:rsidRPr="004C79C1">
        <w:rPr>
          <w:u w:val="single"/>
        </w:rPr>
        <w:t xml:space="preserve">La notion de participation indirecte va disparaître l’année prochaine pour être remplacée par celle de BIC adressable. Est-ce que les BIC adressables bénéficieront de la même protection que les participants indirects ? </w:t>
      </w:r>
    </w:p>
    <w:p w14:paraId="2A3C6C34" w14:textId="77777777" w:rsidR="004C79C1" w:rsidRDefault="005B6064" w:rsidP="004C79C1">
      <w:pPr>
        <w:jc w:val="both"/>
      </w:pPr>
      <w:r>
        <w:t xml:space="preserve">Les paiements émanant des BIC adressables bénéficieront de la finalité des paiements (au titre de la directive SFD). Ce n’est pas un participant qui bénéficie de la protection de la SFD, mais c’est un système qui est notifié SFD et donc in fine tous les paiements émis dans le système bénéficient de </w:t>
      </w:r>
      <w:proofErr w:type="gramStart"/>
      <w:r>
        <w:t>cette</w:t>
      </w:r>
      <w:proofErr w:type="gramEnd"/>
      <w:r>
        <w:t xml:space="preserve"> protection, y compris ceux du BIC adressable, car ils passent par un participant direct au système. </w:t>
      </w:r>
    </w:p>
    <w:p w14:paraId="6B0FC262" w14:textId="77777777" w:rsidR="004C79C1" w:rsidRDefault="004C79C1" w:rsidP="004C79C1">
      <w:pPr>
        <w:jc w:val="both"/>
      </w:pPr>
    </w:p>
    <w:p w14:paraId="56A10BFB" w14:textId="77777777" w:rsidR="001A32BC" w:rsidRPr="001A32BC" w:rsidRDefault="001A32BC" w:rsidP="004C79C1">
      <w:pPr>
        <w:jc w:val="both"/>
        <w:rPr>
          <w:u w:val="single"/>
        </w:rPr>
      </w:pPr>
      <w:r w:rsidRPr="001A32BC">
        <w:rPr>
          <w:u w:val="single"/>
        </w:rPr>
        <w:t xml:space="preserve">Un participant peut-il avoir une participation directe sur un de ses BIC 11 et en adressable avec un autre BIC 11 ? </w:t>
      </w:r>
    </w:p>
    <w:p w14:paraId="7B55890D" w14:textId="3AB97649" w:rsidR="001A32BC" w:rsidRDefault="00F3216C" w:rsidP="004C79C1">
      <w:pPr>
        <w:jc w:val="both"/>
      </w:pPr>
      <w:r>
        <w:t>Oui, les BIC autorisés à régler des opérations sur un compte sont configurés comme AAU (</w:t>
      </w:r>
      <w:proofErr w:type="spellStart"/>
      <w:r>
        <w:t>Authorized</w:t>
      </w:r>
      <w:proofErr w:type="spellEnd"/>
      <w:r>
        <w:t xml:space="preserve"> Account User), un même BIC 11 ne peut pas être présent plusieurs fois comme AAU au sein du m</w:t>
      </w:r>
      <w:r w:rsidR="00A553B2">
        <w:t>ê</w:t>
      </w:r>
      <w:r>
        <w:t>me service (en l’occurrence RTGS), mais plusieurs BIC</w:t>
      </w:r>
      <w:r w:rsidR="00505C3B">
        <w:t xml:space="preserve"> </w:t>
      </w:r>
      <w:r>
        <w:t>11 différents peuvent être AAU sur un m</w:t>
      </w:r>
      <w:r w:rsidR="00A553B2">
        <w:t>ê</w:t>
      </w:r>
      <w:r>
        <w:t xml:space="preserve">me compte (un direct et éventuellement plusieurs BIC </w:t>
      </w:r>
      <w:proofErr w:type="spellStart"/>
      <w:r>
        <w:t>addressables</w:t>
      </w:r>
      <w:proofErr w:type="spellEnd"/>
      <w:r>
        <w:t xml:space="preserve"> et/ou multi-</w:t>
      </w:r>
      <w:proofErr w:type="spellStart"/>
      <w:r>
        <w:t>addressee</w:t>
      </w:r>
      <w:proofErr w:type="spellEnd"/>
      <w:r>
        <w:t>)</w:t>
      </w:r>
      <w:r w:rsidR="00505C3B">
        <w:t>.</w:t>
      </w:r>
    </w:p>
    <w:p w14:paraId="1B77B501" w14:textId="77777777" w:rsidR="00C479F6" w:rsidRDefault="00C479F6" w:rsidP="004C79C1">
      <w:pPr>
        <w:jc w:val="both"/>
      </w:pPr>
    </w:p>
    <w:p w14:paraId="5A67B5D0" w14:textId="2F010BBB" w:rsidR="001A32BC" w:rsidRPr="001A32BC" w:rsidRDefault="00C479F6" w:rsidP="004C79C1">
      <w:pPr>
        <w:jc w:val="both"/>
        <w:rPr>
          <w:u w:val="single"/>
        </w:rPr>
      </w:pPr>
      <w:r>
        <w:rPr>
          <w:u w:val="single"/>
        </w:rPr>
        <w:t xml:space="preserve">Plusieurs </w:t>
      </w:r>
      <w:r w:rsidR="00F3216C">
        <w:rPr>
          <w:u w:val="single"/>
        </w:rPr>
        <w:t xml:space="preserve">DCA </w:t>
      </w:r>
      <w:r>
        <w:rPr>
          <w:u w:val="single"/>
        </w:rPr>
        <w:t>RTGS peuvent-ils être rattachés au même MCA</w:t>
      </w:r>
      <w:r w:rsidR="001A32BC" w:rsidRPr="001A32BC">
        <w:rPr>
          <w:u w:val="single"/>
        </w:rPr>
        <w:t xml:space="preserve"> ? </w:t>
      </w:r>
    </w:p>
    <w:p w14:paraId="57B6CD38" w14:textId="7CC35346" w:rsidR="001A32BC" w:rsidRDefault="00C479F6" w:rsidP="004C79C1">
      <w:pPr>
        <w:jc w:val="both"/>
      </w:pPr>
      <w:r>
        <w:t>Oui, p</w:t>
      </w:r>
      <w:r w:rsidR="001A32BC">
        <w:t xml:space="preserve">lusieurs </w:t>
      </w:r>
      <w:r w:rsidR="00505C3B">
        <w:t xml:space="preserve">DCA </w:t>
      </w:r>
      <w:r w:rsidR="001A32BC">
        <w:t>RTGS peuvent effectivement être rattachés au même MCA</w:t>
      </w:r>
      <w:r w:rsidR="00E43079">
        <w:t xml:space="preserve"> pour ce qui concerne les règles de gestion (plafond/plancher)</w:t>
      </w:r>
      <w:r w:rsidR="001A32BC">
        <w:t>.</w:t>
      </w:r>
      <w:r w:rsidR="00E43079">
        <w:t xml:space="preserve"> </w:t>
      </w:r>
    </w:p>
    <w:p w14:paraId="1AEBC353" w14:textId="77777777" w:rsidR="001A32BC" w:rsidRDefault="001A32BC" w:rsidP="004C79C1">
      <w:pPr>
        <w:jc w:val="both"/>
      </w:pPr>
    </w:p>
    <w:p w14:paraId="61B102CB" w14:textId="77777777" w:rsidR="001A32BC" w:rsidRPr="001A32BC" w:rsidRDefault="001A32BC" w:rsidP="004C79C1">
      <w:pPr>
        <w:jc w:val="both"/>
        <w:rPr>
          <w:u w:val="single"/>
        </w:rPr>
      </w:pPr>
      <w:r w:rsidRPr="001A32BC">
        <w:rPr>
          <w:u w:val="single"/>
        </w:rPr>
        <w:t xml:space="preserve">Le RTGS Directory est un annuaire des participants directs et indirects ? </w:t>
      </w:r>
    </w:p>
    <w:p w14:paraId="5EC51610" w14:textId="25FA5EFD" w:rsidR="001A32BC" w:rsidRDefault="001A32BC" w:rsidP="004C79C1">
      <w:pPr>
        <w:jc w:val="both"/>
      </w:pPr>
      <w:r>
        <w:lastRenderedPageBreak/>
        <w:t xml:space="preserve">Oui seuls les BIC </w:t>
      </w:r>
      <w:r w:rsidR="00DC5D2D">
        <w:t>paramétrés comme AAU sur un compte ayant la caractéristique « </w:t>
      </w:r>
      <w:r>
        <w:t>non publié</w:t>
      </w:r>
      <w:r w:rsidR="00DC5D2D">
        <w:t> »</w:t>
      </w:r>
      <w:r>
        <w:t xml:space="preserve"> ne seront pas disponibles</w:t>
      </w:r>
      <w:r w:rsidR="00DC5D2D">
        <w:t xml:space="preserve"> dans le RTGS Directory</w:t>
      </w:r>
      <w:r>
        <w:t xml:space="preserve">. </w:t>
      </w:r>
    </w:p>
    <w:p w14:paraId="49EC485E" w14:textId="77777777" w:rsidR="001A32BC" w:rsidRDefault="001A32BC" w:rsidP="004C79C1">
      <w:pPr>
        <w:jc w:val="both"/>
      </w:pPr>
    </w:p>
    <w:p w14:paraId="08A10EDA" w14:textId="77777777" w:rsidR="001A32BC" w:rsidRPr="001A32BC" w:rsidRDefault="001A32BC" w:rsidP="004C79C1">
      <w:pPr>
        <w:jc w:val="both"/>
        <w:rPr>
          <w:u w:val="single"/>
        </w:rPr>
      </w:pPr>
      <w:r w:rsidRPr="001A32BC">
        <w:rPr>
          <w:u w:val="single"/>
        </w:rPr>
        <w:t>Quand va-t-on recevoir le premier RTGS Directory en recette</w:t>
      </w:r>
      <w:r>
        <w:rPr>
          <w:u w:val="single"/>
        </w:rPr>
        <w:t xml:space="preserve"> en test</w:t>
      </w:r>
      <w:r w:rsidRPr="001A32BC">
        <w:rPr>
          <w:u w:val="single"/>
        </w:rPr>
        <w:t xml:space="preserve"> ? </w:t>
      </w:r>
    </w:p>
    <w:p w14:paraId="25C3665D" w14:textId="19472E2B" w:rsidR="001A32BC" w:rsidRDefault="00B17AD3" w:rsidP="004C79C1">
      <w:pPr>
        <w:jc w:val="both"/>
      </w:pPr>
      <w:r>
        <w:t>Le RTGS Directory v</w:t>
      </w:r>
      <w:r w:rsidR="001A32BC">
        <w:t xml:space="preserve">a être progressivement alimenté au fur et à mesure de </w:t>
      </w:r>
      <w:r>
        <w:t>la création des comptes</w:t>
      </w:r>
      <w:r w:rsidR="00DC5D2D">
        <w:t>, il doit être envoyé d</w:t>
      </w:r>
      <w:r w:rsidR="00A553B2">
        <w:t>è</w:t>
      </w:r>
      <w:r w:rsidR="00DC5D2D">
        <w:t xml:space="preserve">s l’ouverture du </w:t>
      </w:r>
      <w:proofErr w:type="spellStart"/>
      <w:r w:rsidR="00DC5D2D">
        <w:t>UTest</w:t>
      </w:r>
      <w:proofErr w:type="spellEnd"/>
      <w:r w:rsidR="00DC5D2D">
        <w:t>, sa réception est conditionnée par un paramétrage dans CRDM pour chaque détenteur de DCA RTGS</w:t>
      </w:r>
      <w:r w:rsidR="002833FB">
        <w:t>.</w:t>
      </w:r>
      <w:r w:rsidR="001A32BC">
        <w:t xml:space="preserve"> </w:t>
      </w:r>
    </w:p>
    <w:p w14:paraId="543AB4DB" w14:textId="77777777" w:rsidR="001A32BC" w:rsidRDefault="001A32BC" w:rsidP="004C79C1">
      <w:pPr>
        <w:jc w:val="both"/>
      </w:pPr>
    </w:p>
    <w:p w14:paraId="6B3922CD" w14:textId="21B5F93C" w:rsidR="001A32BC" w:rsidRPr="001A32BC" w:rsidRDefault="001A32BC" w:rsidP="004C79C1">
      <w:pPr>
        <w:jc w:val="both"/>
        <w:rPr>
          <w:u w:val="single"/>
        </w:rPr>
      </w:pPr>
      <w:r w:rsidRPr="001A32BC">
        <w:rPr>
          <w:u w:val="single"/>
        </w:rPr>
        <w:t xml:space="preserve">Est-ce que les paiements pour les multi </w:t>
      </w:r>
      <w:proofErr w:type="spellStart"/>
      <w:r w:rsidRPr="001A32BC">
        <w:rPr>
          <w:u w:val="single"/>
        </w:rPr>
        <w:t>ad</w:t>
      </w:r>
      <w:r w:rsidR="00DC5D2D">
        <w:rPr>
          <w:u w:val="single"/>
        </w:rPr>
        <w:t>d</w:t>
      </w:r>
      <w:r w:rsidRPr="001A32BC">
        <w:rPr>
          <w:u w:val="single"/>
        </w:rPr>
        <w:t>ressee</w:t>
      </w:r>
      <w:proofErr w:type="spellEnd"/>
      <w:r w:rsidRPr="001A32BC">
        <w:rPr>
          <w:u w:val="single"/>
        </w:rPr>
        <w:t xml:space="preserve"> en pacs devront contenir les deux BIC ? Celui du multi-</w:t>
      </w:r>
      <w:proofErr w:type="spellStart"/>
      <w:r w:rsidRPr="001A32BC">
        <w:rPr>
          <w:u w:val="single"/>
        </w:rPr>
        <w:t>adressee</w:t>
      </w:r>
      <w:proofErr w:type="spellEnd"/>
      <w:r w:rsidRPr="001A32BC">
        <w:rPr>
          <w:u w:val="single"/>
        </w:rPr>
        <w:t xml:space="preserve"> et celui de RTGS </w:t>
      </w:r>
      <w:proofErr w:type="spellStart"/>
      <w:r w:rsidRPr="001A32BC">
        <w:rPr>
          <w:u w:val="single"/>
        </w:rPr>
        <w:t>account</w:t>
      </w:r>
      <w:proofErr w:type="spellEnd"/>
      <w:r w:rsidRPr="001A32BC">
        <w:rPr>
          <w:u w:val="single"/>
        </w:rPr>
        <w:t xml:space="preserve"> </w:t>
      </w:r>
      <w:proofErr w:type="spellStart"/>
      <w:r w:rsidRPr="001A32BC">
        <w:rPr>
          <w:u w:val="single"/>
        </w:rPr>
        <w:t>holder</w:t>
      </w:r>
      <w:proofErr w:type="spellEnd"/>
      <w:r w:rsidRPr="001A32BC">
        <w:rPr>
          <w:u w:val="single"/>
        </w:rPr>
        <w:t xml:space="preserve"> ? </w:t>
      </w:r>
    </w:p>
    <w:p w14:paraId="1B4E01BC" w14:textId="0102EBCA" w:rsidR="00A553B2" w:rsidRDefault="00C479F6" w:rsidP="00A553B2">
      <w:pPr>
        <w:pStyle w:val="Sansinterligne"/>
      </w:pPr>
      <w:r>
        <w:t>Oui le BIC du multi-</w:t>
      </w:r>
      <w:proofErr w:type="spellStart"/>
      <w:r>
        <w:t>addressee</w:t>
      </w:r>
      <w:proofErr w:type="spellEnd"/>
      <w:r>
        <w:t xml:space="preserve"> </w:t>
      </w:r>
      <w:r w:rsidR="00DC5D2D">
        <w:t xml:space="preserve">doit </w:t>
      </w:r>
      <w:r>
        <w:t>être dans le header</w:t>
      </w:r>
      <w:r w:rsidR="00A553B2" w:rsidRPr="00A553B2">
        <w:t xml:space="preserve"> </w:t>
      </w:r>
      <w:r w:rsidR="00A553B2">
        <w:t>dans le « </w:t>
      </w:r>
      <w:proofErr w:type="spellStart"/>
      <w:r w:rsidR="00A553B2">
        <w:t>From</w:t>
      </w:r>
      <w:proofErr w:type="spellEnd"/>
      <w:r w:rsidR="00A553B2">
        <w:t xml:space="preserve"> ». </w:t>
      </w:r>
    </w:p>
    <w:p w14:paraId="1AA54192" w14:textId="77777777" w:rsidR="00A553B2" w:rsidRDefault="00A553B2" w:rsidP="00A553B2">
      <w:pPr>
        <w:pStyle w:val="Sansinterligne"/>
      </w:pPr>
      <w:r>
        <w:t>Dans les pacs :</w:t>
      </w:r>
    </w:p>
    <w:p w14:paraId="50D14153" w14:textId="77777777" w:rsidR="00A553B2" w:rsidRDefault="00A553B2" w:rsidP="00A553B2">
      <w:pPr>
        <w:pStyle w:val="Sansinterligne"/>
        <w:numPr>
          <w:ilvl w:val="0"/>
          <w:numId w:val="3"/>
        </w:numPr>
      </w:pPr>
      <w:proofErr w:type="gramStart"/>
      <w:r>
        <w:t>les</w:t>
      </w:r>
      <w:proofErr w:type="gramEnd"/>
      <w:r>
        <w:t xml:space="preserve"> balises « </w:t>
      </w:r>
      <w:proofErr w:type="spellStart"/>
      <w:r>
        <w:t>instructing</w:t>
      </w:r>
      <w:proofErr w:type="spellEnd"/>
      <w:r>
        <w:t xml:space="preserve"> agent » et « </w:t>
      </w:r>
      <w:proofErr w:type="spellStart"/>
      <w:r>
        <w:t>instructed</w:t>
      </w:r>
      <w:proofErr w:type="spellEnd"/>
      <w:r>
        <w:t xml:space="preserve"> agent » contiennent toujours le BIC du RTGS </w:t>
      </w:r>
      <w:proofErr w:type="spellStart"/>
      <w:r>
        <w:t>account</w:t>
      </w:r>
      <w:proofErr w:type="spellEnd"/>
      <w:r>
        <w:t xml:space="preserve"> </w:t>
      </w:r>
      <w:proofErr w:type="spellStart"/>
      <w:r>
        <w:t>holder</w:t>
      </w:r>
      <w:proofErr w:type="spellEnd"/>
      <w:r>
        <w:t>.</w:t>
      </w:r>
    </w:p>
    <w:p w14:paraId="09F90C3C" w14:textId="6CBE1643" w:rsidR="001A32BC" w:rsidRDefault="002833FB" w:rsidP="002833FB">
      <w:pPr>
        <w:pStyle w:val="Paragraphedeliste"/>
        <w:numPr>
          <w:ilvl w:val="0"/>
          <w:numId w:val="3"/>
        </w:numPr>
        <w:jc w:val="both"/>
      </w:pPr>
      <w:proofErr w:type="gramStart"/>
      <w:r>
        <w:t>l</w:t>
      </w:r>
      <w:r w:rsidR="00A553B2">
        <w:t>es</w:t>
      </w:r>
      <w:proofErr w:type="gramEnd"/>
      <w:r w:rsidR="00A553B2">
        <w:t xml:space="preserve"> balises « </w:t>
      </w:r>
      <w:proofErr w:type="spellStart"/>
      <w:r w:rsidR="00A553B2">
        <w:t>creditor</w:t>
      </w:r>
      <w:proofErr w:type="spellEnd"/>
      <w:r w:rsidR="00A553B2">
        <w:t> » et « </w:t>
      </w:r>
      <w:proofErr w:type="spellStart"/>
      <w:r w:rsidR="00A553B2">
        <w:t>debtor</w:t>
      </w:r>
      <w:proofErr w:type="spellEnd"/>
      <w:r w:rsidR="00A553B2">
        <w:t> » contiennent le BIC crédité ou débité final. Il n’y a pas de contrôle de ce BIC dans RTGS. Il doit juste figurer dans le BIC Directory de Swift.</w:t>
      </w:r>
      <w:r w:rsidR="00C479F6">
        <w:t xml:space="preserve"> </w:t>
      </w:r>
    </w:p>
    <w:p w14:paraId="325713B8" w14:textId="77777777" w:rsidR="001A32BC" w:rsidRDefault="001A32BC" w:rsidP="004C79C1">
      <w:pPr>
        <w:jc w:val="both"/>
      </w:pPr>
    </w:p>
    <w:p w14:paraId="519C3CFB" w14:textId="77777777" w:rsidR="001A32BC" w:rsidRPr="001A32BC" w:rsidRDefault="00C479F6" w:rsidP="004C79C1">
      <w:pPr>
        <w:jc w:val="both"/>
        <w:rPr>
          <w:u w:val="single"/>
        </w:rPr>
      </w:pPr>
      <w:r>
        <w:rPr>
          <w:u w:val="single"/>
        </w:rPr>
        <w:t xml:space="preserve">Le </w:t>
      </w:r>
      <w:r w:rsidR="001A32BC" w:rsidRPr="001A32BC">
        <w:rPr>
          <w:u w:val="single"/>
        </w:rPr>
        <w:t>N</w:t>
      </w:r>
      <w:r>
        <w:rPr>
          <w:u w:val="single"/>
        </w:rPr>
        <w:t xml:space="preserve">ational </w:t>
      </w:r>
      <w:proofErr w:type="spellStart"/>
      <w:r w:rsidR="001A32BC" w:rsidRPr="001A32BC">
        <w:rPr>
          <w:u w:val="single"/>
        </w:rPr>
        <w:t>S</w:t>
      </w:r>
      <w:r>
        <w:rPr>
          <w:u w:val="single"/>
        </w:rPr>
        <w:t>orting</w:t>
      </w:r>
      <w:proofErr w:type="spellEnd"/>
      <w:r>
        <w:rPr>
          <w:u w:val="single"/>
        </w:rPr>
        <w:t xml:space="preserve"> </w:t>
      </w:r>
      <w:r w:rsidR="001A32BC" w:rsidRPr="001A32BC">
        <w:rPr>
          <w:u w:val="single"/>
        </w:rPr>
        <w:t>C</w:t>
      </w:r>
      <w:r>
        <w:rPr>
          <w:u w:val="single"/>
        </w:rPr>
        <w:t xml:space="preserve">ode (NSC) pour la France contiendra-t-il 5 ou 10 caractères ? </w:t>
      </w:r>
    </w:p>
    <w:p w14:paraId="71DC396E" w14:textId="77777777" w:rsidR="001A32BC" w:rsidRDefault="00C479F6" w:rsidP="004C79C1">
      <w:pPr>
        <w:jc w:val="both"/>
      </w:pPr>
      <w:r>
        <w:t xml:space="preserve">Le NSC pour la France contiendra 5 caractères comme c’est le cas actuellement. </w:t>
      </w:r>
    </w:p>
    <w:p w14:paraId="28941F68" w14:textId="77777777" w:rsidR="001A32BC" w:rsidRDefault="001A32BC" w:rsidP="004C79C1">
      <w:pPr>
        <w:jc w:val="both"/>
      </w:pPr>
    </w:p>
    <w:p w14:paraId="5585A8BB" w14:textId="77777777" w:rsidR="001A32BC" w:rsidRPr="000D2582" w:rsidRDefault="000D2582" w:rsidP="004C79C1">
      <w:pPr>
        <w:jc w:val="both"/>
        <w:rPr>
          <w:u w:val="single"/>
        </w:rPr>
      </w:pPr>
      <w:r w:rsidRPr="000D2582">
        <w:rPr>
          <w:u w:val="single"/>
        </w:rPr>
        <w:t xml:space="preserve">Aujourd’hui, RTGS permet de renseigner un BIC externe et de virer des fonds en utilisant des MT202, comment cela se </w:t>
      </w:r>
      <w:proofErr w:type="spellStart"/>
      <w:r w:rsidRPr="000D2582">
        <w:rPr>
          <w:u w:val="single"/>
        </w:rPr>
        <w:t>passera-t-il</w:t>
      </w:r>
      <w:proofErr w:type="spellEnd"/>
      <w:r w:rsidRPr="000D2582">
        <w:rPr>
          <w:u w:val="single"/>
        </w:rPr>
        <w:t xml:space="preserve"> après ? </w:t>
      </w:r>
    </w:p>
    <w:p w14:paraId="03A6E082" w14:textId="77777777" w:rsidR="000D2582" w:rsidRDefault="00C479F6" w:rsidP="004C79C1">
      <w:pPr>
        <w:jc w:val="both"/>
      </w:pPr>
      <w:r>
        <w:t>Les MT202 seront remplacés par des pacs.</w:t>
      </w:r>
      <w:r w:rsidR="00E247C7">
        <w:t xml:space="preserve">009. </w:t>
      </w:r>
    </w:p>
    <w:p w14:paraId="33FF9526" w14:textId="77777777" w:rsidR="000D2582" w:rsidRDefault="000D2582" w:rsidP="004C79C1">
      <w:pPr>
        <w:jc w:val="both"/>
      </w:pPr>
    </w:p>
    <w:p w14:paraId="6F0995F0" w14:textId="71C07E26" w:rsidR="00E247C7" w:rsidRPr="000D2582" w:rsidRDefault="002833FB" w:rsidP="004C79C1">
      <w:pPr>
        <w:jc w:val="both"/>
        <w:rPr>
          <w:u w:val="single"/>
        </w:rPr>
      </w:pPr>
      <w:r>
        <w:rPr>
          <w:u w:val="single"/>
        </w:rPr>
        <w:t>E</w:t>
      </w:r>
      <w:r w:rsidRPr="002833FB">
        <w:rPr>
          <w:u w:val="single"/>
        </w:rPr>
        <w:t>s</w:t>
      </w:r>
      <w:r>
        <w:rPr>
          <w:u w:val="single"/>
        </w:rPr>
        <w:t>t</w:t>
      </w:r>
      <w:r w:rsidRPr="002833FB">
        <w:rPr>
          <w:u w:val="single"/>
        </w:rPr>
        <w:t>-ce que les paiements saisis dans le GUI seront transformés en pacs par la plateforme</w:t>
      </w:r>
      <w:r w:rsidR="00B855B4">
        <w:rPr>
          <w:u w:val="single"/>
        </w:rPr>
        <w:t xml:space="preserve"> </w:t>
      </w:r>
      <w:r w:rsidR="000D2582" w:rsidRPr="000D2582">
        <w:rPr>
          <w:u w:val="single"/>
        </w:rPr>
        <w:t xml:space="preserve">? </w:t>
      </w:r>
    </w:p>
    <w:p w14:paraId="5DCA0ECC" w14:textId="1A8BCD4D" w:rsidR="000D2582" w:rsidRDefault="00E247C7" w:rsidP="004C79C1">
      <w:pPr>
        <w:jc w:val="both"/>
      </w:pPr>
      <w:r>
        <w:t xml:space="preserve">Oui </w:t>
      </w:r>
      <w:r w:rsidR="002833FB">
        <w:t>ce sera le cas.</w:t>
      </w:r>
      <w:r>
        <w:t xml:space="preserve"> </w:t>
      </w:r>
    </w:p>
    <w:p w14:paraId="2BA696A1" w14:textId="77777777" w:rsidR="000D2582" w:rsidRDefault="000D2582" w:rsidP="004C79C1">
      <w:pPr>
        <w:jc w:val="both"/>
      </w:pPr>
    </w:p>
    <w:p w14:paraId="30ED7542" w14:textId="77777777" w:rsidR="000D2582" w:rsidRPr="000D2582" w:rsidRDefault="000D2582" w:rsidP="004C79C1">
      <w:pPr>
        <w:jc w:val="both"/>
        <w:rPr>
          <w:u w:val="single"/>
        </w:rPr>
      </w:pPr>
      <w:r w:rsidRPr="000D2582">
        <w:rPr>
          <w:u w:val="single"/>
        </w:rPr>
        <w:t xml:space="preserve">Un pacs.008 (initié dans un GUI) </w:t>
      </w:r>
      <w:proofErr w:type="spellStart"/>
      <w:r w:rsidRPr="000D2582">
        <w:rPr>
          <w:u w:val="single"/>
        </w:rPr>
        <w:t>pourra-t-il</w:t>
      </w:r>
      <w:proofErr w:type="spellEnd"/>
      <w:r w:rsidRPr="000D2582">
        <w:rPr>
          <w:u w:val="single"/>
        </w:rPr>
        <w:t xml:space="preserve"> bien débiter le compte d’une société dans </w:t>
      </w:r>
      <w:r w:rsidR="00E247C7" w:rsidRPr="000D2582">
        <w:rPr>
          <w:u w:val="single"/>
        </w:rPr>
        <w:t>une banque tierce</w:t>
      </w:r>
      <w:r w:rsidRPr="000D2582">
        <w:rPr>
          <w:u w:val="single"/>
        </w:rPr>
        <w:t xml:space="preserve"> si nous avons un </w:t>
      </w:r>
      <w:proofErr w:type="spellStart"/>
      <w:r w:rsidRPr="000D2582">
        <w:rPr>
          <w:u w:val="single"/>
        </w:rPr>
        <w:t>PoA</w:t>
      </w:r>
      <w:proofErr w:type="spellEnd"/>
      <w:r w:rsidRPr="000D2582">
        <w:rPr>
          <w:u w:val="single"/>
        </w:rPr>
        <w:t xml:space="preserve"> pour cela ? </w:t>
      </w:r>
    </w:p>
    <w:p w14:paraId="20B8257E" w14:textId="6F877C73" w:rsidR="000D2582" w:rsidRDefault="00E247C7" w:rsidP="004C79C1">
      <w:pPr>
        <w:jc w:val="both"/>
      </w:pPr>
      <w:r>
        <w:t xml:space="preserve">Oui, cela fonctionnera comme aujourd’hui, </w:t>
      </w:r>
      <w:r w:rsidR="00F946FF">
        <w:t>mais le message sera un pacs et non un</w:t>
      </w:r>
      <w:r>
        <w:t xml:space="preserve"> MT. </w:t>
      </w:r>
    </w:p>
    <w:p w14:paraId="5383154F" w14:textId="77777777" w:rsidR="000D2582" w:rsidRDefault="000D2582" w:rsidP="004C79C1">
      <w:pPr>
        <w:jc w:val="both"/>
      </w:pPr>
    </w:p>
    <w:p w14:paraId="66D55CED" w14:textId="77777777" w:rsidR="000D2582" w:rsidRPr="000D2582" w:rsidRDefault="000D2582" w:rsidP="004C79C1">
      <w:pPr>
        <w:jc w:val="both"/>
        <w:rPr>
          <w:u w:val="single"/>
        </w:rPr>
      </w:pPr>
      <w:r w:rsidRPr="000D2582">
        <w:rPr>
          <w:u w:val="single"/>
        </w:rPr>
        <w:t>Sera-t-i</w:t>
      </w:r>
      <w:r w:rsidR="00E247C7">
        <w:rPr>
          <w:u w:val="single"/>
        </w:rPr>
        <w:t xml:space="preserve">l possible de créer, en U2A, </w:t>
      </w:r>
      <w:r w:rsidRPr="000D2582">
        <w:rPr>
          <w:u w:val="single"/>
        </w:rPr>
        <w:t xml:space="preserve">des </w:t>
      </w:r>
      <w:proofErr w:type="spellStart"/>
      <w:r w:rsidRPr="000D2582">
        <w:rPr>
          <w:u w:val="single"/>
        </w:rPr>
        <w:t>templates</w:t>
      </w:r>
      <w:proofErr w:type="spellEnd"/>
      <w:r w:rsidRPr="000D2582">
        <w:rPr>
          <w:u w:val="single"/>
        </w:rPr>
        <w:t xml:space="preserve"> de saisie dans RTGS ?  </w:t>
      </w:r>
    </w:p>
    <w:p w14:paraId="225AD926" w14:textId="55EF8673" w:rsidR="001A32BC" w:rsidRDefault="00E247C7" w:rsidP="004C79C1">
      <w:pPr>
        <w:jc w:val="both"/>
      </w:pPr>
      <w:r>
        <w:t xml:space="preserve">Non, cela ne rentre pas dans le périmètre du RTGS et ne sera pas possible via son interface graphique. Il faudra passer par des messages en A2A. </w:t>
      </w:r>
      <w:r w:rsidR="00F946FF">
        <w:t>I</w:t>
      </w:r>
      <w:r w:rsidR="004E7EB2">
        <w:t>l est en revanche possible que vos syst</w:t>
      </w:r>
      <w:r w:rsidR="00905F07">
        <w:t>è</w:t>
      </w:r>
      <w:r w:rsidR="004E7EB2">
        <w:t>mes internes puissent implémenter cette fonction, le message généré localement sera alors perçu comme A2A par T2</w:t>
      </w:r>
      <w:r w:rsidR="00905F07">
        <w:t>.</w:t>
      </w:r>
    </w:p>
    <w:p w14:paraId="1249539C" w14:textId="77777777" w:rsidR="001A32BC" w:rsidRDefault="001A32BC" w:rsidP="004C79C1">
      <w:pPr>
        <w:jc w:val="both"/>
      </w:pPr>
    </w:p>
    <w:p w14:paraId="2219421E" w14:textId="77777777" w:rsidR="008978F1" w:rsidRPr="008978F1" w:rsidRDefault="008978F1" w:rsidP="004C79C1">
      <w:pPr>
        <w:jc w:val="both"/>
        <w:rPr>
          <w:u w:val="single"/>
        </w:rPr>
      </w:pPr>
      <w:r w:rsidRPr="008978F1">
        <w:rPr>
          <w:u w:val="single"/>
        </w:rPr>
        <w:t xml:space="preserve">Qui enregistre le mandat de débit direct, est-ce la CB ou est-ce le participant ? </w:t>
      </w:r>
    </w:p>
    <w:p w14:paraId="3E0A4673" w14:textId="659B3B6F" w:rsidR="008978F1" w:rsidRDefault="008978F1" w:rsidP="004C79C1">
      <w:pPr>
        <w:jc w:val="both"/>
      </w:pPr>
      <w:r>
        <w:t>Seule la BCN peut le faire. Cela pourra être testé un UTEST</w:t>
      </w:r>
      <w:r w:rsidR="004E7EB2">
        <w:t>, le formulaire permet de recueillir les mandats de d</w:t>
      </w:r>
      <w:r w:rsidR="00905F07">
        <w:t>é</w:t>
      </w:r>
      <w:r w:rsidR="004E7EB2">
        <w:t>bit direct à positionner sur les comptes</w:t>
      </w:r>
      <w:r w:rsidR="007B74CA">
        <w:t>.</w:t>
      </w:r>
    </w:p>
    <w:p w14:paraId="2B3D838B" w14:textId="77777777" w:rsidR="008978F1" w:rsidRDefault="008978F1" w:rsidP="004C79C1">
      <w:pPr>
        <w:jc w:val="both"/>
      </w:pPr>
    </w:p>
    <w:p w14:paraId="71EC3632" w14:textId="77777777" w:rsidR="008978F1" w:rsidRPr="008978F1" w:rsidRDefault="008978F1" w:rsidP="004C79C1">
      <w:pPr>
        <w:jc w:val="both"/>
        <w:rPr>
          <w:u w:val="single"/>
        </w:rPr>
      </w:pPr>
      <w:r w:rsidRPr="008978F1">
        <w:rPr>
          <w:u w:val="single"/>
        </w:rPr>
        <w:t xml:space="preserve">Que se passe-t-il si un pacs.004 est topé high ? </w:t>
      </w:r>
    </w:p>
    <w:p w14:paraId="0DE8200B" w14:textId="77777777" w:rsidR="008978F1" w:rsidRDefault="008978F1" w:rsidP="004C79C1">
      <w:pPr>
        <w:jc w:val="both"/>
      </w:pPr>
      <w:r>
        <w:t>I</w:t>
      </w:r>
      <w:r w:rsidR="00E247C7">
        <w:t xml:space="preserve">l sera rejeté par le système. </w:t>
      </w:r>
    </w:p>
    <w:p w14:paraId="2DC68286" w14:textId="77777777" w:rsidR="005B6064" w:rsidRDefault="005B6064" w:rsidP="004C79C1">
      <w:pPr>
        <w:jc w:val="both"/>
      </w:pPr>
    </w:p>
    <w:p w14:paraId="338A0E72" w14:textId="77777777" w:rsidR="006171E5" w:rsidRDefault="006171E5" w:rsidP="004C79C1">
      <w:pPr>
        <w:jc w:val="both"/>
        <w:rPr>
          <w:u w:val="single"/>
        </w:rPr>
      </w:pPr>
      <w:r w:rsidRPr="006171E5">
        <w:rPr>
          <w:u w:val="single"/>
        </w:rPr>
        <w:t xml:space="preserve">L’activation de la fonction exceptionnelle de back-up payment en U2A rend impossible l’envoi de messages en A2A. </w:t>
      </w:r>
    </w:p>
    <w:p w14:paraId="5258F4FE" w14:textId="77777777" w:rsidR="005B6064" w:rsidRPr="006171E5" w:rsidRDefault="006171E5" w:rsidP="006171E5">
      <w:pPr>
        <w:pStyle w:val="Paragraphedeliste"/>
        <w:numPr>
          <w:ilvl w:val="0"/>
          <w:numId w:val="1"/>
        </w:numPr>
        <w:jc w:val="both"/>
        <w:rPr>
          <w:u w:val="single"/>
        </w:rPr>
      </w:pPr>
      <w:r w:rsidRPr="006171E5">
        <w:rPr>
          <w:u w:val="single"/>
        </w:rPr>
        <w:t xml:space="preserve">Est-ce que cela veut dire que les messages en file d’attente ou envoyés en A2A pendant ce temps sont refusés par un pacs.002 négatif ? </w:t>
      </w:r>
    </w:p>
    <w:p w14:paraId="39BB9C59" w14:textId="77777777" w:rsidR="006171E5" w:rsidRPr="006171E5" w:rsidRDefault="006171E5" w:rsidP="006171E5">
      <w:pPr>
        <w:pStyle w:val="Paragraphedeliste"/>
        <w:numPr>
          <w:ilvl w:val="0"/>
          <w:numId w:val="1"/>
        </w:numPr>
        <w:jc w:val="both"/>
        <w:rPr>
          <w:u w:val="single"/>
        </w:rPr>
      </w:pPr>
      <w:r>
        <w:rPr>
          <w:u w:val="single"/>
        </w:rPr>
        <w:t xml:space="preserve">Concernant la date d’imputation, est-ce que cela veut dire que nous pouvons recevoir d’une contrepartie qui aurait activé cette procédure des paiements en date de la veille par exemple, au lieu d’une date J ? </w:t>
      </w:r>
    </w:p>
    <w:p w14:paraId="6D69E7A2" w14:textId="77777777" w:rsidR="006171E5" w:rsidRDefault="006171E5" w:rsidP="006171E5">
      <w:pPr>
        <w:pStyle w:val="Paragraphedeliste"/>
        <w:ind w:left="1080"/>
        <w:jc w:val="both"/>
      </w:pPr>
    </w:p>
    <w:p w14:paraId="12E821DF" w14:textId="73CEA370" w:rsidR="008978F1" w:rsidRDefault="006171E5" w:rsidP="00905F07">
      <w:pPr>
        <w:pStyle w:val="Paragraphedeliste"/>
        <w:numPr>
          <w:ilvl w:val="0"/>
          <w:numId w:val="2"/>
        </w:numPr>
        <w:jc w:val="both"/>
      </w:pPr>
      <w:r>
        <w:t xml:space="preserve">Cette fonction </w:t>
      </w:r>
      <w:r w:rsidR="00F946FF">
        <w:t>n’</w:t>
      </w:r>
      <w:r>
        <w:t xml:space="preserve">est activée </w:t>
      </w:r>
      <w:r w:rsidR="00F946FF">
        <w:t xml:space="preserve">que </w:t>
      </w:r>
      <w:r>
        <w:t xml:space="preserve">dans le cas où le A2A est KO. </w:t>
      </w:r>
      <w:r w:rsidR="00905F07">
        <w:t>Elle n’empêche pas l’envoi de message en A2A. Dès que votre système redémarre, vous pouvez émettre des messages A2A et vérifier ainsi son bon fonctionnement avant de demander la désactivation du backup.</w:t>
      </w:r>
    </w:p>
    <w:p w14:paraId="6E6830C4" w14:textId="3D53F12D" w:rsidR="006171E5" w:rsidRDefault="006171E5" w:rsidP="00F946FF">
      <w:pPr>
        <w:pStyle w:val="Paragraphedeliste"/>
        <w:numPr>
          <w:ilvl w:val="0"/>
          <w:numId w:val="2"/>
        </w:numPr>
        <w:jc w:val="both"/>
      </w:pPr>
      <w:r>
        <w:t>Concernant la date d’imputation, cela fonctionne comme aujourd’hui</w:t>
      </w:r>
      <w:r w:rsidR="00F946FF">
        <w:t xml:space="preserve"> (</w:t>
      </w:r>
      <w:r w:rsidR="00F946FF" w:rsidRPr="00F946FF">
        <w:t>le système acceptera à J des paiements portant une date de valeur à J-1 mais le règlement se fera à J</w:t>
      </w:r>
      <w:r w:rsidR="00F946FF">
        <w:t>)</w:t>
      </w:r>
      <w:r>
        <w:t xml:space="preserve">. </w:t>
      </w:r>
    </w:p>
    <w:p w14:paraId="2E23B75B" w14:textId="77777777" w:rsidR="000D2582" w:rsidRDefault="000D2582" w:rsidP="004C79C1">
      <w:pPr>
        <w:jc w:val="both"/>
      </w:pPr>
    </w:p>
    <w:p w14:paraId="2B3DE41E" w14:textId="77777777" w:rsidR="006171E5" w:rsidRPr="00B17AD3" w:rsidRDefault="006171E5" w:rsidP="004C79C1">
      <w:pPr>
        <w:jc w:val="both"/>
        <w:rPr>
          <w:u w:val="single"/>
        </w:rPr>
      </w:pPr>
      <w:r w:rsidRPr="00B17AD3">
        <w:rPr>
          <w:u w:val="single"/>
        </w:rPr>
        <w:t xml:space="preserve">Y-a-t-il un délai pour accepter le retour de fonds ? </w:t>
      </w:r>
    </w:p>
    <w:p w14:paraId="0065265F" w14:textId="59AFEFB3" w:rsidR="006171E5" w:rsidRDefault="00E247C7" w:rsidP="004C79C1">
      <w:pPr>
        <w:jc w:val="both"/>
      </w:pPr>
      <w:r>
        <w:t xml:space="preserve">Ce délai va reposer sur des règles à mettre en place entre participants. </w:t>
      </w:r>
      <w:r w:rsidR="004E7EB2">
        <w:t>RTGS ne fait pas de contrôles sur le délai, ni m</w:t>
      </w:r>
      <w:r w:rsidR="00905F07">
        <w:t>ê</w:t>
      </w:r>
      <w:r w:rsidR="004E7EB2">
        <w:t>me de rapprochement entre le return et le paiement initial.</w:t>
      </w:r>
    </w:p>
    <w:p w14:paraId="437DCB53" w14:textId="77777777" w:rsidR="006171E5" w:rsidRDefault="006171E5" w:rsidP="004C79C1">
      <w:pPr>
        <w:jc w:val="both"/>
      </w:pPr>
    </w:p>
    <w:p w14:paraId="4BEE0D90" w14:textId="77777777" w:rsidR="006171E5" w:rsidRPr="00B17AD3" w:rsidRDefault="006171E5" w:rsidP="004C79C1">
      <w:pPr>
        <w:jc w:val="both"/>
        <w:rPr>
          <w:u w:val="single"/>
        </w:rPr>
      </w:pPr>
      <w:r w:rsidRPr="00B17AD3">
        <w:rPr>
          <w:u w:val="single"/>
        </w:rPr>
        <w:t xml:space="preserve">Comment s’opèrent les réservations en mode BIC adressable ? </w:t>
      </w:r>
    </w:p>
    <w:p w14:paraId="068B3072" w14:textId="77777777" w:rsidR="006171E5" w:rsidRDefault="00E247C7" w:rsidP="004C79C1">
      <w:pPr>
        <w:jc w:val="both"/>
      </w:pPr>
      <w:r>
        <w:t>C’est au détenteur du compte de mettre en place les réservations.</w:t>
      </w:r>
    </w:p>
    <w:p w14:paraId="24CE44CE" w14:textId="77777777" w:rsidR="00E247C7" w:rsidRDefault="00E247C7" w:rsidP="004C79C1">
      <w:pPr>
        <w:jc w:val="both"/>
      </w:pPr>
    </w:p>
    <w:p w14:paraId="18325FF1" w14:textId="77777777" w:rsidR="006171E5" w:rsidRPr="00B17AD3" w:rsidRDefault="006171E5" w:rsidP="004C79C1">
      <w:pPr>
        <w:jc w:val="both"/>
        <w:rPr>
          <w:u w:val="single"/>
        </w:rPr>
      </w:pPr>
      <w:r w:rsidRPr="00B17AD3">
        <w:rPr>
          <w:u w:val="single"/>
        </w:rPr>
        <w:t xml:space="preserve">Quand vous dites </w:t>
      </w:r>
      <w:r w:rsidR="00E247C7">
        <w:rPr>
          <w:u w:val="single"/>
        </w:rPr>
        <w:t>que le paramétrage de limites est optionnel</w:t>
      </w:r>
      <w:r w:rsidRPr="00B17AD3">
        <w:rPr>
          <w:u w:val="single"/>
        </w:rPr>
        <w:t xml:space="preserve">, est-ce lié à un package de services </w:t>
      </w:r>
      <w:r w:rsidR="00E247C7">
        <w:rPr>
          <w:u w:val="single"/>
        </w:rPr>
        <w:t xml:space="preserve">payant, </w:t>
      </w:r>
      <w:r w:rsidRPr="00B17AD3">
        <w:rPr>
          <w:u w:val="single"/>
        </w:rPr>
        <w:t xml:space="preserve">comme les Value </w:t>
      </w:r>
      <w:proofErr w:type="spellStart"/>
      <w:r w:rsidRPr="00B17AD3">
        <w:rPr>
          <w:u w:val="single"/>
        </w:rPr>
        <w:t>Added</w:t>
      </w:r>
      <w:proofErr w:type="spellEnd"/>
      <w:r w:rsidRPr="00B17AD3">
        <w:rPr>
          <w:u w:val="single"/>
        </w:rPr>
        <w:t xml:space="preserve"> Services d’aujourd’hui</w:t>
      </w:r>
      <w:r w:rsidR="00E247C7">
        <w:rPr>
          <w:u w:val="single"/>
        </w:rPr>
        <w:t xml:space="preserve"> </w:t>
      </w:r>
      <w:r w:rsidRPr="00B17AD3">
        <w:rPr>
          <w:u w:val="single"/>
        </w:rPr>
        <w:t xml:space="preserve">? </w:t>
      </w:r>
    </w:p>
    <w:p w14:paraId="5F975081" w14:textId="77777777" w:rsidR="006171E5" w:rsidRDefault="00E247C7" w:rsidP="004C79C1">
      <w:pPr>
        <w:jc w:val="both"/>
      </w:pPr>
      <w:r>
        <w:t xml:space="preserve">Non c’est optionnel dans le sens où le paramétrage est à la main du participant. </w:t>
      </w:r>
    </w:p>
    <w:p w14:paraId="4AF8484B" w14:textId="77777777" w:rsidR="006171E5" w:rsidRDefault="006171E5" w:rsidP="004C79C1">
      <w:pPr>
        <w:jc w:val="both"/>
      </w:pPr>
    </w:p>
    <w:p w14:paraId="31FA4083" w14:textId="05B23721" w:rsidR="006171E5" w:rsidRPr="00B17AD3" w:rsidRDefault="006171E5" w:rsidP="004C79C1">
      <w:pPr>
        <w:jc w:val="both"/>
        <w:rPr>
          <w:u w:val="single"/>
        </w:rPr>
      </w:pPr>
      <w:r w:rsidRPr="00B17AD3">
        <w:rPr>
          <w:u w:val="single"/>
        </w:rPr>
        <w:t>Les horaires de déversement</w:t>
      </w:r>
      <w:r w:rsidR="00F946FF">
        <w:rPr>
          <w:u w:val="single"/>
        </w:rPr>
        <w:t xml:space="preserve"> des systèmes exogènes</w:t>
      </w:r>
      <w:r w:rsidRPr="00B17AD3">
        <w:rPr>
          <w:u w:val="single"/>
        </w:rPr>
        <w:t xml:space="preserve"> vers RTGS restent</w:t>
      </w:r>
      <w:r w:rsidR="00F946FF">
        <w:rPr>
          <w:u w:val="single"/>
        </w:rPr>
        <w:t>-ils</w:t>
      </w:r>
      <w:r w:rsidRPr="00B17AD3">
        <w:rPr>
          <w:u w:val="single"/>
        </w:rPr>
        <w:t xml:space="preserve"> inchangés ? </w:t>
      </w:r>
    </w:p>
    <w:p w14:paraId="68899E34" w14:textId="6D521A78" w:rsidR="006171E5" w:rsidRDefault="00D51FE0" w:rsidP="004C79C1">
      <w:pPr>
        <w:jc w:val="both"/>
      </w:pPr>
      <w:r>
        <w:t xml:space="preserve">Oui </w:t>
      </w:r>
      <w:r w:rsidR="00F946FF">
        <w:t xml:space="preserve">ils </w:t>
      </w:r>
      <w:r>
        <w:t xml:space="preserve">restent inchangés. </w:t>
      </w:r>
    </w:p>
    <w:p w14:paraId="3EE79299" w14:textId="25A39E15" w:rsidR="006171E5" w:rsidRDefault="006171E5" w:rsidP="004C79C1">
      <w:pPr>
        <w:jc w:val="both"/>
      </w:pPr>
    </w:p>
    <w:p w14:paraId="10F44208" w14:textId="5ACA436B" w:rsidR="00E43079" w:rsidRDefault="00E43079" w:rsidP="004C79C1">
      <w:pPr>
        <w:jc w:val="both"/>
      </w:pPr>
      <w:r w:rsidRPr="00E43079">
        <w:rPr>
          <w:u w:val="single"/>
        </w:rPr>
        <w:t xml:space="preserve">Y-a-t-il un changement pour le déversement </w:t>
      </w:r>
      <w:proofErr w:type="spellStart"/>
      <w:r w:rsidRPr="00E43079">
        <w:rPr>
          <w:u w:val="single"/>
        </w:rPr>
        <w:t>Euroclear</w:t>
      </w:r>
      <w:proofErr w:type="spellEnd"/>
      <w:r w:rsidRPr="00E43079">
        <w:t xml:space="preserve"> ?   </w:t>
      </w:r>
    </w:p>
    <w:p w14:paraId="1C894A59" w14:textId="41CC17C2" w:rsidR="00E43079" w:rsidRDefault="00E43079" w:rsidP="004C79C1">
      <w:pPr>
        <w:jc w:val="both"/>
      </w:pPr>
      <w:proofErr w:type="spellStart"/>
      <w:r>
        <w:t>Euroclear</w:t>
      </w:r>
      <w:proofErr w:type="spellEnd"/>
      <w:r>
        <w:t xml:space="preserve"> France n’est pas un système exogène de TARGET2, il ne se déverse donc pas dans le RTGS. </w:t>
      </w:r>
    </w:p>
    <w:p w14:paraId="1F80E173" w14:textId="77777777" w:rsidR="00E43079" w:rsidRDefault="00E43079" w:rsidP="004C79C1">
      <w:pPr>
        <w:jc w:val="both"/>
      </w:pPr>
    </w:p>
    <w:p w14:paraId="54EFCCA0" w14:textId="77777777" w:rsidR="006171E5" w:rsidRPr="00B17AD3" w:rsidRDefault="006171E5" w:rsidP="004C79C1">
      <w:pPr>
        <w:jc w:val="both"/>
        <w:rPr>
          <w:u w:val="single"/>
        </w:rPr>
      </w:pPr>
      <w:r w:rsidRPr="00B17AD3">
        <w:rPr>
          <w:u w:val="single"/>
        </w:rPr>
        <w:t xml:space="preserve">Pouvez-vous nous communiquer une liste de quelle procédure de déversement est utilisée par quel SE ? </w:t>
      </w:r>
    </w:p>
    <w:p w14:paraId="0E89F630" w14:textId="77777777" w:rsidR="001A32BC" w:rsidRDefault="0002026A" w:rsidP="004C79C1">
      <w:pPr>
        <w:jc w:val="both"/>
      </w:pPr>
      <w:r>
        <w:t>Vous trouverez dans le fichier ci-dessous cette liste.</w:t>
      </w:r>
    </w:p>
    <w:p w14:paraId="5DB63DAB" w14:textId="77777777" w:rsidR="0002026A" w:rsidRDefault="0002026A" w:rsidP="004C79C1">
      <w:pPr>
        <w:jc w:val="both"/>
      </w:pPr>
      <w:r>
        <w:object w:dxaOrig="1546" w:dyaOrig="1000" w14:anchorId="16137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50.1pt" o:ole="">
            <v:imagedata r:id="rId8" o:title=""/>
          </v:shape>
          <o:OLEObject Type="Embed" ProgID="Excel.Sheet.12" ShapeID="_x0000_i1025" DrawAspect="Icon" ObjectID="_1695553953" r:id="rId9"/>
        </w:object>
      </w:r>
    </w:p>
    <w:p w14:paraId="3368A5BC" w14:textId="77777777" w:rsidR="001A32BC" w:rsidRDefault="001A32BC" w:rsidP="004C79C1">
      <w:pPr>
        <w:jc w:val="both"/>
      </w:pPr>
    </w:p>
    <w:p w14:paraId="50AAE441" w14:textId="77777777" w:rsidR="0002026A" w:rsidRDefault="006171E5" w:rsidP="004C79C1">
      <w:pPr>
        <w:jc w:val="both"/>
        <w:rPr>
          <w:u w:val="single"/>
        </w:rPr>
      </w:pPr>
      <w:r w:rsidRPr="00B17AD3">
        <w:rPr>
          <w:u w:val="single"/>
        </w:rPr>
        <w:t xml:space="preserve">En UTEST comment seront alimentés les DCA des participants </w:t>
      </w:r>
      <w:r w:rsidR="00B17AD3" w:rsidRPr="00B17AD3">
        <w:rPr>
          <w:u w:val="single"/>
        </w:rPr>
        <w:t xml:space="preserve">(pour éviter des rejets récurrents des déversements SE, surtout au démarrage des tests) ? </w:t>
      </w:r>
    </w:p>
    <w:p w14:paraId="47036BFA" w14:textId="2C25CEF2" w:rsidR="0002026A" w:rsidRPr="0002026A" w:rsidRDefault="0002026A" w:rsidP="004C79C1">
      <w:pPr>
        <w:jc w:val="both"/>
      </w:pPr>
      <w:r w:rsidRPr="0002026A">
        <w:t xml:space="preserve">Il sera possible de demander </w:t>
      </w:r>
      <w:r w:rsidR="004E7EB2">
        <w:t>à la BCN</w:t>
      </w:r>
      <w:r w:rsidRPr="0002026A">
        <w:t xml:space="preserve"> d’alimenter le</w:t>
      </w:r>
      <w:r w:rsidR="004E7EB2">
        <w:t>s</w:t>
      </w:r>
      <w:r w:rsidRPr="0002026A">
        <w:t xml:space="preserve"> </w:t>
      </w:r>
      <w:r w:rsidR="004E7EB2">
        <w:t>M</w:t>
      </w:r>
      <w:r w:rsidR="004E7EB2" w:rsidRPr="0002026A">
        <w:t>CA</w:t>
      </w:r>
      <w:r w:rsidRPr="0002026A">
        <w:t xml:space="preserve">. </w:t>
      </w:r>
    </w:p>
    <w:p w14:paraId="695231E8" w14:textId="77777777" w:rsidR="0002026A" w:rsidRDefault="0002026A" w:rsidP="004C79C1">
      <w:pPr>
        <w:jc w:val="both"/>
        <w:rPr>
          <w:u w:val="single"/>
        </w:rPr>
      </w:pPr>
      <w:bookmarkStart w:id="0" w:name="_GoBack"/>
      <w:bookmarkEnd w:id="0"/>
    </w:p>
    <w:p w14:paraId="11517431" w14:textId="0B8B5049" w:rsidR="006171E5" w:rsidRPr="00B17AD3" w:rsidRDefault="00B17AD3" w:rsidP="004C79C1">
      <w:pPr>
        <w:jc w:val="both"/>
        <w:rPr>
          <w:u w:val="single"/>
        </w:rPr>
      </w:pPr>
      <w:r w:rsidRPr="00B17AD3">
        <w:rPr>
          <w:u w:val="single"/>
        </w:rPr>
        <w:t>Pourra-t-on simuler des cas de défaut pour tester le recours au FGC</w:t>
      </w:r>
      <w:r w:rsidR="00935F7B">
        <w:rPr>
          <w:u w:val="single"/>
        </w:rPr>
        <w:t xml:space="preserve"> (Fonds de Garantie Commun)</w:t>
      </w:r>
      <w:r w:rsidRPr="00B17AD3">
        <w:rPr>
          <w:u w:val="single"/>
        </w:rPr>
        <w:t> ?</w:t>
      </w:r>
    </w:p>
    <w:p w14:paraId="7CE32648" w14:textId="77777777" w:rsidR="001A32BC" w:rsidRDefault="0002026A" w:rsidP="004C79C1">
      <w:pPr>
        <w:jc w:val="both"/>
      </w:pPr>
      <w:r>
        <w:t xml:space="preserve">Oui, cela fera partie des tests. </w:t>
      </w:r>
    </w:p>
    <w:p w14:paraId="314097FC" w14:textId="77777777" w:rsidR="00BD4F86" w:rsidRPr="00F3216C" w:rsidRDefault="00BD4F86"/>
    <w:sectPr w:rsidR="00BD4F86" w:rsidRPr="00F3216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6C6BF" w14:textId="77777777" w:rsidR="00700042" w:rsidRDefault="00700042" w:rsidP="00FB32D1">
      <w:pPr>
        <w:spacing w:after="0" w:line="240" w:lineRule="auto"/>
      </w:pPr>
      <w:r>
        <w:separator/>
      </w:r>
    </w:p>
  </w:endnote>
  <w:endnote w:type="continuationSeparator" w:id="0">
    <w:p w14:paraId="384FD2AC" w14:textId="77777777" w:rsidR="00700042" w:rsidRDefault="00700042" w:rsidP="00FB3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737689"/>
      <w:docPartObj>
        <w:docPartGallery w:val="Page Numbers (Bottom of Page)"/>
        <w:docPartUnique/>
      </w:docPartObj>
    </w:sdtPr>
    <w:sdtEndPr/>
    <w:sdtContent>
      <w:p w14:paraId="7E286D97" w14:textId="6D4CDD41" w:rsidR="000D2582" w:rsidRDefault="000D2582">
        <w:pPr>
          <w:pStyle w:val="Pieddepage"/>
          <w:jc w:val="right"/>
        </w:pPr>
        <w:r>
          <w:fldChar w:fldCharType="begin"/>
        </w:r>
        <w:r>
          <w:instrText>PAGE   \* MERGEFORMAT</w:instrText>
        </w:r>
        <w:r>
          <w:fldChar w:fldCharType="separate"/>
        </w:r>
        <w:r w:rsidR="00935F7B">
          <w:rPr>
            <w:noProof/>
          </w:rPr>
          <w:t>3</w:t>
        </w:r>
        <w:r>
          <w:fldChar w:fldCharType="end"/>
        </w:r>
      </w:p>
    </w:sdtContent>
  </w:sdt>
  <w:p w14:paraId="70012646" w14:textId="77777777" w:rsidR="000D2582" w:rsidRDefault="000D25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5B0FF" w14:textId="77777777" w:rsidR="00700042" w:rsidRDefault="00700042" w:rsidP="00FB32D1">
      <w:pPr>
        <w:spacing w:after="0" w:line="240" w:lineRule="auto"/>
      </w:pPr>
      <w:r>
        <w:separator/>
      </w:r>
    </w:p>
  </w:footnote>
  <w:footnote w:type="continuationSeparator" w:id="0">
    <w:p w14:paraId="71441CE2" w14:textId="77777777" w:rsidR="00700042" w:rsidRDefault="00700042" w:rsidP="00FB3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6960" w14:textId="77777777" w:rsidR="004C79C1" w:rsidRDefault="004C79C1">
    <w:pPr>
      <w:pStyle w:val="En-tte"/>
    </w:pPr>
    <w:r>
      <w:t>Septembre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F009E"/>
    <w:multiLevelType w:val="hybridMultilevel"/>
    <w:tmpl w:val="25384610"/>
    <w:lvl w:ilvl="0" w:tplc="AE4C2B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62698B"/>
    <w:multiLevelType w:val="hybridMultilevel"/>
    <w:tmpl w:val="27D8D05C"/>
    <w:lvl w:ilvl="0" w:tplc="5334442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40E0F52"/>
    <w:multiLevelType w:val="hybridMultilevel"/>
    <w:tmpl w:val="F94C7F62"/>
    <w:lvl w:ilvl="0" w:tplc="CFD2649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DA71D7C"/>
    <w:multiLevelType w:val="hybridMultilevel"/>
    <w:tmpl w:val="1DF48558"/>
    <w:lvl w:ilvl="0" w:tplc="69C403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86"/>
    <w:rsid w:val="0002026A"/>
    <w:rsid w:val="000D2582"/>
    <w:rsid w:val="000E2220"/>
    <w:rsid w:val="001A32BC"/>
    <w:rsid w:val="001F6C9B"/>
    <w:rsid w:val="002833FB"/>
    <w:rsid w:val="004C79C1"/>
    <w:rsid w:val="004E7EB2"/>
    <w:rsid w:val="00505C3B"/>
    <w:rsid w:val="005421C5"/>
    <w:rsid w:val="005B6064"/>
    <w:rsid w:val="006171E5"/>
    <w:rsid w:val="00700042"/>
    <w:rsid w:val="007B74CA"/>
    <w:rsid w:val="008978F1"/>
    <w:rsid w:val="00905F07"/>
    <w:rsid w:val="00935F7B"/>
    <w:rsid w:val="00947538"/>
    <w:rsid w:val="00970309"/>
    <w:rsid w:val="00A553B2"/>
    <w:rsid w:val="00B17AD3"/>
    <w:rsid w:val="00B21FE5"/>
    <w:rsid w:val="00B50605"/>
    <w:rsid w:val="00B855B4"/>
    <w:rsid w:val="00BD4F86"/>
    <w:rsid w:val="00C479F6"/>
    <w:rsid w:val="00D51FE0"/>
    <w:rsid w:val="00D94338"/>
    <w:rsid w:val="00DC5D2D"/>
    <w:rsid w:val="00E247C7"/>
    <w:rsid w:val="00E43079"/>
    <w:rsid w:val="00EE66EC"/>
    <w:rsid w:val="00F3216C"/>
    <w:rsid w:val="00F946FF"/>
    <w:rsid w:val="00FB32D1"/>
    <w:rsid w:val="00FF06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D6256A"/>
  <w15:chartTrackingRefBased/>
  <w15:docId w15:val="{2A9AF6A4-DE89-438E-8611-524A276E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4F86"/>
    <w:rPr>
      <w:color w:val="0563C1" w:themeColor="hyperlink"/>
      <w:u w:val="single"/>
    </w:rPr>
  </w:style>
  <w:style w:type="paragraph" w:styleId="En-tte">
    <w:name w:val="header"/>
    <w:basedOn w:val="Normal"/>
    <w:link w:val="En-tteCar"/>
    <w:uiPriority w:val="99"/>
    <w:unhideWhenUsed/>
    <w:rsid w:val="00FB32D1"/>
    <w:pPr>
      <w:tabs>
        <w:tab w:val="center" w:pos="4536"/>
        <w:tab w:val="right" w:pos="9072"/>
      </w:tabs>
      <w:spacing w:after="0" w:line="240" w:lineRule="auto"/>
    </w:pPr>
  </w:style>
  <w:style w:type="character" w:customStyle="1" w:styleId="En-tteCar">
    <w:name w:val="En-tête Car"/>
    <w:basedOn w:val="Policepardfaut"/>
    <w:link w:val="En-tte"/>
    <w:uiPriority w:val="99"/>
    <w:rsid w:val="00FB32D1"/>
  </w:style>
  <w:style w:type="paragraph" w:styleId="Pieddepage">
    <w:name w:val="footer"/>
    <w:basedOn w:val="Normal"/>
    <w:link w:val="PieddepageCar"/>
    <w:uiPriority w:val="99"/>
    <w:unhideWhenUsed/>
    <w:rsid w:val="00FB32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32D1"/>
  </w:style>
  <w:style w:type="character" w:styleId="Lienhypertextesuivivisit">
    <w:name w:val="FollowedHyperlink"/>
    <w:basedOn w:val="Policepardfaut"/>
    <w:uiPriority w:val="99"/>
    <w:semiHidden/>
    <w:unhideWhenUsed/>
    <w:rsid w:val="00FB32D1"/>
    <w:rPr>
      <w:color w:val="954F72" w:themeColor="followedHyperlink"/>
      <w:u w:val="single"/>
    </w:rPr>
  </w:style>
  <w:style w:type="paragraph" w:styleId="Paragraphedeliste">
    <w:name w:val="List Paragraph"/>
    <w:basedOn w:val="Normal"/>
    <w:uiPriority w:val="34"/>
    <w:qFormat/>
    <w:rsid w:val="006171E5"/>
    <w:pPr>
      <w:ind w:left="720"/>
      <w:contextualSpacing/>
    </w:pPr>
  </w:style>
  <w:style w:type="character" w:styleId="Marquedecommentaire">
    <w:name w:val="annotation reference"/>
    <w:basedOn w:val="Policepardfaut"/>
    <w:uiPriority w:val="99"/>
    <w:semiHidden/>
    <w:unhideWhenUsed/>
    <w:rsid w:val="00C479F6"/>
    <w:rPr>
      <w:sz w:val="16"/>
      <w:szCs w:val="16"/>
    </w:rPr>
  </w:style>
  <w:style w:type="paragraph" w:styleId="Commentaire">
    <w:name w:val="annotation text"/>
    <w:basedOn w:val="Normal"/>
    <w:link w:val="CommentaireCar"/>
    <w:uiPriority w:val="99"/>
    <w:semiHidden/>
    <w:unhideWhenUsed/>
    <w:rsid w:val="00C479F6"/>
    <w:pPr>
      <w:spacing w:line="240" w:lineRule="auto"/>
    </w:pPr>
    <w:rPr>
      <w:sz w:val="20"/>
      <w:szCs w:val="20"/>
    </w:rPr>
  </w:style>
  <w:style w:type="character" w:customStyle="1" w:styleId="CommentaireCar">
    <w:name w:val="Commentaire Car"/>
    <w:basedOn w:val="Policepardfaut"/>
    <w:link w:val="Commentaire"/>
    <w:uiPriority w:val="99"/>
    <w:semiHidden/>
    <w:rsid w:val="00C479F6"/>
    <w:rPr>
      <w:sz w:val="20"/>
      <w:szCs w:val="20"/>
    </w:rPr>
  </w:style>
  <w:style w:type="paragraph" w:styleId="Objetducommentaire">
    <w:name w:val="annotation subject"/>
    <w:basedOn w:val="Commentaire"/>
    <w:next w:val="Commentaire"/>
    <w:link w:val="ObjetducommentaireCar"/>
    <w:uiPriority w:val="99"/>
    <w:semiHidden/>
    <w:unhideWhenUsed/>
    <w:rsid w:val="00C479F6"/>
    <w:rPr>
      <w:b/>
      <w:bCs/>
    </w:rPr>
  </w:style>
  <w:style w:type="character" w:customStyle="1" w:styleId="ObjetducommentaireCar">
    <w:name w:val="Objet du commentaire Car"/>
    <w:basedOn w:val="CommentaireCar"/>
    <w:link w:val="Objetducommentaire"/>
    <w:uiPriority w:val="99"/>
    <w:semiHidden/>
    <w:rsid w:val="00C479F6"/>
    <w:rPr>
      <w:b/>
      <w:bCs/>
      <w:sz w:val="20"/>
      <w:szCs w:val="20"/>
    </w:rPr>
  </w:style>
  <w:style w:type="paragraph" w:styleId="Textedebulles">
    <w:name w:val="Balloon Text"/>
    <w:basedOn w:val="Normal"/>
    <w:link w:val="TextedebullesCar"/>
    <w:uiPriority w:val="99"/>
    <w:semiHidden/>
    <w:unhideWhenUsed/>
    <w:rsid w:val="00C479F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79F6"/>
    <w:rPr>
      <w:rFonts w:ascii="Segoe UI" w:hAnsi="Segoe UI" w:cs="Segoe UI"/>
      <w:sz w:val="18"/>
      <w:szCs w:val="18"/>
    </w:rPr>
  </w:style>
  <w:style w:type="paragraph" w:styleId="Sansinterligne">
    <w:name w:val="No Spacing"/>
    <w:uiPriority w:val="1"/>
    <w:qFormat/>
    <w:rsid w:val="00A553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b.europa.eu/paym/target/shared/xlsx/ancillary_systems_procedures_for_t2.xls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1083</Words>
  <Characters>5962</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CUNY Jérémy (DGSO DIIP)</dc:creator>
  <cp:keywords/>
  <dc:description/>
  <cp:lastModifiedBy>CUNY Jérémy (DGSO DIIP)</cp:lastModifiedBy>
  <cp:revision>5</cp:revision>
  <dcterms:created xsi:type="dcterms:W3CDTF">2021-09-30T14:34:00Z</dcterms:created>
  <dcterms:modified xsi:type="dcterms:W3CDTF">2021-10-12T12:26:00Z</dcterms:modified>
</cp:coreProperties>
</file>