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C0073" w14:textId="77777777" w:rsidR="00E077A7" w:rsidRPr="003D6BE3" w:rsidRDefault="00E077A7" w:rsidP="00E077A7">
      <w:pPr>
        <w:autoSpaceDE w:val="0"/>
        <w:autoSpaceDN w:val="0"/>
        <w:adjustRightInd w:val="0"/>
        <w:spacing w:after="0" w:line="240" w:lineRule="auto"/>
        <w:jc w:val="center"/>
        <w:rPr>
          <w:rFonts w:ascii="Times New Roman" w:hAnsi="Times New Roman" w:cs="Times New Roman"/>
          <w:b/>
          <w:bCs/>
          <w:sz w:val="36"/>
          <w:szCs w:val="36"/>
          <w14:textOutline w14:w="38100" w14:cap="rnd" w14:cmpd="sng" w14:algn="ctr">
            <w14:solidFill>
              <w14:srgbClr w14:val="000000"/>
            </w14:solidFill>
            <w14:prstDash w14:val="solid"/>
            <w14:bevel/>
          </w14:textOutline>
        </w:rPr>
      </w:pPr>
      <w:r>
        <w:rPr>
          <w:rFonts w:ascii="Times New Roman" w:hAnsi="Times New Roman"/>
          <w:b/>
          <w:bCs/>
          <w:sz w:val="36"/>
          <w:szCs w:val="36"/>
          <w14:textOutline w14:w="38100" w14:cap="rnd" w14:cmpd="sng" w14:algn="ctr">
            <w14:solidFill>
              <w14:srgbClr w14:val="000000"/>
            </w14:solidFill>
            <w14:prstDash w14:val="solid"/>
            <w14:bevel/>
          </w14:textOutline>
        </w:rPr>
        <w:t>__________________________</w:t>
      </w:r>
    </w:p>
    <w:p w14:paraId="0B1A03DD" w14:textId="77777777" w:rsidR="00E077A7" w:rsidRDefault="00E077A7" w:rsidP="00E077A7">
      <w:pPr>
        <w:jc w:val="center"/>
        <w:rPr>
          <w:sz w:val="52"/>
          <w:szCs w:val="52"/>
        </w:rPr>
      </w:pPr>
    </w:p>
    <w:p w14:paraId="0012DEBA" w14:textId="6A72B46A" w:rsidR="00E077A7" w:rsidRDefault="00823BD8" w:rsidP="00E077A7">
      <w:pPr>
        <w:jc w:val="center"/>
      </w:pPr>
      <w:r>
        <w:rPr>
          <w:sz w:val="52"/>
          <w:szCs w:val="52"/>
        </w:rPr>
        <w:t>Card payment s</w:t>
      </w:r>
      <w:r w:rsidR="002F72A6">
        <w:rPr>
          <w:sz w:val="52"/>
          <w:szCs w:val="52"/>
        </w:rPr>
        <w:t>chemes</w:t>
      </w:r>
      <w:r>
        <w:rPr>
          <w:sz w:val="52"/>
          <w:szCs w:val="52"/>
        </w:rPr>
        <w:t xml:space="preserve"> fraud statistics</w:t>
      </w:r>
    </w:p>
    <w:p w14:paraId="6EF723D7" w14:textId="77777777" w:rsidR="00E077A7" w:rsidRDefault="00E077A7" w:rsidP="00E077A7">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b/>
          <w:bCs/>
          <w:sz w:val="36"/>
          <w:szCs w:val="36"/>
        </w:rPr>
        <w:t>__________________________</w:t>
      </w:r>
    </w:p>
    <w:p w14:paraId="1A26D7A2" w14:textId="77777777" w:rsidR="00E077A7" w:rsidRDefault="00E077A7"/>
    <w:p w14:paraId="5F2B31F3" w14:textId="77777777" w:rsidR="00E077A7" w:rsidRPr="00C343AE" w:rsidRDefault="00C343AE" w:rsidP="00C343AE">
      <w:pPr>
        <w:jc w:val="center"/>
        <w:rPr>
          <w:sz w:val="52"/>
          <w:szCs w:val="52"/>
        </w:rPr>
      </w:pPr>
      <w:r>
        <w:rPr>
          <w:sz w:val="52"/>
          <w:szCs w:val="52"/>
        </w:rPr>
        <w:t>Observatory for the Security of Payment Means data collection</w:t>
      </w:r>
    </w:p>
    <w:p w14:paraId="172817CA" w14:textId="77777777" w:rsidR="00C343AE" w:rsidRDefault="00C343AE" w:rsidP="00C343AE">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b/>
          <w:bCs/>
          <w:sz w:val="36"/>
          <w:szCs w:val="36"/>
        </w:rPr>
        <w:t>__________________________</w:t>
      </w:r>
    </w:p>
    <w:p w14:paraId="7825520F" w14:textId="77777777" w:rsidR="00E077A7" w:rsidRDefault="00E077A7"/>
    <w:p w14:paraId="4AC9F3B2" w14:textId="77777777" w:rsidR="00E077A7" w:rsidRDefault="00E077A7"/>
    <w:p w14:paraId="4096E362" w14:textId="77777777" w:rsidR="00E077A7" w:rsidRDefault="00E077A7"/>
    <w:p w14:paraId="779DF9C5" w14:textId="77777777" w:rsidR="00E077A7" w:rsidRPr="00E077A7" w:rsidRDefault="00E077A7" w:rsidP="00E077A7">
      <w:pPr>
        <w:jc w:val="center"/>
        <w:rPr>
          <w:b/>
          <w:sz w:val="52"/>
          <w:szCs w:val="52"/>
        </w:rPr>
      </w:pPr>
      <w:r>
        <w:rPr>
          <w:b/>
          <w:sz w:val="52"/>
          <w:szCs w:val="52"/>
        </w:rPr>
        <w:t>A guide to completion</w:t>
      </w:r>
    </w:p>
    <w:p w14:paraId="0283EC3D" w14:textId="77777777" w:rsidR="00E077A7" w:rsidRPr="00E077A7" w:rsidRDefault="00E077A7" w:rsidP="00E077A7">
      <w:pPr>
        <w:jc w:val="center"/>
        <w:rPr>
          <w:sz w:val="36"/>
          <w:szCs w:val="36"/>
        </w:rPr>
      </w:pPr>
      <w:r>
        <w:rPr>
          <w:sz w:val="36"/>
          <w:szCs w:val="36"/>
        </w:rPr>
        <w:t>for survey declarants</w:t>
      </w:r>
    </w:p>
    <w:p w14:paraId="1A0A8268" w14:textId="77777777" w:rsidR="00E077A7" w:rsidRDefault="00E077A7"/>
    <w:p w14:paraId="203983A3" w14:textId="77777777" w:rsidR="00601DCE" w:rsidRDefault="007E729F" w:rsidP="00FF57F7">
      <w:pPr>
        <w:jc w:val="center"/>
        <w:rPr>
          <w:b/>
          <w:color w:val="FF0000"/>
          <w:sz w:val="36"/>
          <w:szCs w:val="36"/>
        </w:rPr>
      </w:pPr>
      <w:r>
        <w:rPr>
          <w:b/>
          <w:color w:val="FF0000"/>
          <w:sz w:val="36"/>
          <w:szCs w:val="36"/>
        </w:rPr>
        <w:t xml:space="preserve">Applicable for data collected </w:t>
      </w:r>
    </w:p>
    <w:p w14:paraId="597BC301" w14:textId="3ADABC31" w:rsidR="003D6BE3" w:rsidRPr="00FF57F7" w:rsidRDefault="0032679B" w:rsidP="00FF57F7">
      <w:pPr>
        <w:jc w:val="center"/>
        <w:rPr>
          <w:b/>
          <w:color w:val="FF0000"/>
          <w:sz w:val="36"/>
          <w:szCs w:val="36"/>
        </w:rPr>
      </w:pPr>
      <w:r>
        <w:rPr>
          <w:b/>
          <w:color w:val="FF0000"/>
          <w:sz w:val="36"/>
          <w:szCs w:val="36"/>
        </w:rPr>
        <w:t>as from H1 202</w:t>
      </w:r>
      <w:r w:rsidR="00CA7DDF">
        <w:rPr>
          <w:b/>
          <w:color w:val="FF0000"/>
          <w:sz w:val="36"/>
          <w:szCs w:val="36"/>
        </w:rPr>
        <w:t>3</w:t>
      </w:r>
    </w:p>
    <w:p w14:paraId="620068AC" w14:textId="7CE4591E" w:rsidR="00E34DB1" w:rsidRDefault="00E34DB1"/>
    <w:p w14:paraId="5F3BC018" w14:textId="77777777" w:rsidR="00CA7DDF" w:rsidRDefault="00CA7DDF"/>
    <w:p w14:paraId="0F6D569D" w14:textId="77777777" w:rsidR="00E077A7" w:rsidRDefault="003D6BE3" w:rsidP="003D6BE3">
      <w:pPr>
        <w:jc w:val="center"/>
      </w:pPr>
      <w:r>
        <w:rPr>
          <w:noProof/>
          <w:lang w:val="fr-FR" w:eastAsia="fr-FR"/>
        </w:rPr>
        <w:drawing>
          <wp:inline distT="0" distB="0" distL="0" distR="0" wp14:anchorId="53C261D6" wp14:editId="63302223">
            <wp:extent cx="2190466" cy="1460311"/>
            <wp:effectExtent l="0" t="0" r="635" b="0"/>
            <wp:docPr id="1" name="Image 1" descr="logo_BDF800epa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DF800epaisseur"/>
                    <pic:cNvPicPr>
                      <a:picLocks noChangeAspect="1" noChangeArrowheads="1"/>
                    </pic:cNvPicPr>
                  </pic:nvPicPr>
                  <pic:blipFill>
                    <a:blip r:embed="rId8" cstate="print"/>
                    <a:srcRect t="-10638" b="-49644"/>
                    <a:stretch>
                      <a:fillRect/>
                    </a:stretch>
                  </pic:blipFill>
                  <pic:spPr bwMode="auto">
                    <a:xfrm>
                      <a:off x="0" y="0"/>
                      <a:ext cx="2190466" cy="1460311"/>
                    </a:xfrm>
                    <a:prstGeom prst="rect">
                      <a:avLst/>
                    </a:prstGeom>
                    <a:noFill/>
                    <a:ln w="9525">
                      <a:noFill/>
                      <a:miter lim="800000"/>
                      <a:headEnd/>
                      <a:tailEnd/>
                    </a:ln>
                  </pic:spPr>
                </pic:pic>
              </a:graphicData>
            </a:graphic>
          </wp:inline>
        </w:drawing>
      </w:r>
    </w:p>
    <w:p w14:paraId="70A089BE" w14:textId="77777777" w:rsidR="00B646C3" w:rsidRDefault="00B646C3" w:rsidP="00FF57F7">
      <w:pPr>
        <w:jc w:val="center"/>
        <w:rPr>
          <w:rFonts w:ascii="Cambria,Bold" w:hAnsi="Cambria,Bold" w:cs="Cambria,Bold"/>
          <w:b/>
          <w:bCs/>
          <w:color w:val="548DD4" w:themeColor="text2" w:themeTint="99"/>
          <w:sz w:val="24"/>
          <w:szCs w:val="24"/>
        </w:rPr>
      </w:pPr>
    </w:p>
    <w:p w14:paraId="093508E1" w14:textId="77777777" w:rsidR="0032679B" w:rsidRDefault="0032679B" w:rsidP="00FF57F7">
      <w:pPr>
        <w:jc w:val="center"/>
        <w:rPr>
          <w:rFonts w:ascii="Cambria,Bold" w:hAnsi="Cambria,Bold"/>
          <w:b/>
          <w:bCs/>
          <w:color w:val="548DD4" w:themeColor="text2" w:themeTint="99"/>
          <w:sz w:val="24"/>
          <w:szCs w:val="24"/>
        </w:rPr>
      </w:pPr>
    </w:p>
    <w:p w14:paraId="05143598" w14:textId="6A8DB418" w:rsidR="0032679B" w:rsidRDefault="0032679B" w:rsidP="0032679B">
      <w:pPr>
        <w:rPr>
          <w:rFonts w:cstheme="minorHAnsi"/>
          <w:b/>
          <w:sz w:val="28"/>
          <w:szCs w:val="28"/>
        </w:rPr>
      </w:pPr>
      <w:r>
        <w:rPr>
          <w:rFonts w:cstheme="minorHAnsi"/>
          <w:b/>
          <w:sz w:val="28"/>
          <w:szCs w:val="28"/>
        </w:rPr>
        <w:t>Version History</w:t>
      </w:r>
    </w:p>
    <w:tbl>
      <w:tblPr>
        <w:tblStyle w:val="Grilledutableau"/>
        <w:tblW w:w="0" w:type="auto"/>
        <w:tblLook w:val="04A0" w:firstRow="1" w:lastRow="0" w:firstColumn="1" w:lastColumn="0" w:noHBand="0" w:noVBand="1"/>
      </w:tblPr>
      <w:tblGrid>
        <w:gridCol w:w="1400"/>
        <w:gridCol w:w="1278"/>
        <w:gridCol w:w="6382"/>
      </w:tblGrid>
      <w:tr w:rsidR="0032679B" w14:paraId="67E57C9A" w14:textId="77777777" w:rsidTr="0032679B">
        <w:tc>
          <w:tcPr>
            <w:tcW w:w="1400" w:type="dxa"/>
          </w:tcPr>
          <w:p w14:paraId="7358C9EE" w14:textId="77777777" w:rsidR="0032679B" w:rsidRPr="0027154D" w:rsidRDefault="0032679B" w:rsidP="0032679B">
            <w:pPr>
              <w:rPr>
                <w:rFonts w:cstheme="minorHAnsi"/>
                <w:b/>
              </w:rPr>
            </w:pPr>
            <w:r w:rsidRPr="0027154D">
              <w:rPr>
                <w:rFonts w:cstheme="minorHAnsi"/>
                <w:b/>
              </w:rPr>
              <w:t>Version</w:t>
            </w:r>
          </w:p>
        </w:tc>
        <w:tc>
          <w:tcPr>
            <w:tcW w:w="1278" w:type="dxa"/>
          </w:tcPr>
          <w:p w14:paraId="304794C4" w14:textId="77777777" w:rsidR="0032679B" w:rsidRPr="0027154D" w:rsidRDefault="0032679B" w:rsidP="0032679B">
            <w:pPr>
              <w:rPr>
                <w:rFonts w:cstheme="minorHAnsi"/>
                <w:b/>
              </w:rPr>
            </w:pPr>
            <w:r w:rsidRPr="0027154D">
              <w:rPr>
                <w:rFonts w:cstheme="minorHAnsi"/>
                <w:b/>
              </w:rPr>
              <w:t>Date</w:t>
            </w:r>
          </w:p>
        </w:tc>
        <w:tc>
          <w:tcPr>
            <w:tcW w:w="6382" w:type="dxa"/>
          </w:tcPr>
          <w:p w14:paraId="4522ECDC" w14:textId="619CFF6E" w:rsidR="0032679B" w:rsidRPr="0027154D" w:rsidRDefault="0032679B" w:rsidP="0032679B">
            <w:pPr>
              <w:rPr>
                <w:rFonts w:cstheme="minorHAnsi"/>
                <w:b/>
              </w:rPr>
            </w:pPr>
            <w:r>
              <w:rPr>
                <w:rFonts w:cstheme="minorHAnsi"/>
                <w:b/>
              </w:rPr>
              <w:t>Comments</w:t>
            </w:r>
          </w:p>
        </w:tc>
      </w:tr>
      <w:tr w:rsidR="0032679B" w14:paraId="42C5D866" w14:textId="77777777" w:rsidTr="0032679B">
        <w:tc>
          <w:tcPr>
            <w:tcW w:w="1400" w:type="dxa"/>
          </w:tcPr>
          <w:p w14:paraId="69EA0120" w14:textId="77777777" w:rsidR="0032679B" w:rsidRPr="0027154D" w:rsidRDefault="0032679B" w:rsidP="0032679B">
            <w:pPr>
              <w:rPr>
                <w:rFonts w:cstheme="minorHAnsi"/>
                <w:sz w:val="18"/>
              </w:rPr>
            </w:pPr>
            <w:r>
              <w:rPr>
                <w:rFonts w:cstheme="minorHAnsi"/>
                <w:sz w:val="18"/>
              </w:rPr>
              <w:t>0.5</w:t>
            </w:r>
          </w:p>
        </w:tc>
        <w:tc>
          <w:tcPr>
            <w:tcW w:w="1278" w:type="dxa"/>
          </w:tcPr>
          <w:p w14:paraId="513A1904" w14:textId="77777777" w:rsidR="0032679B" w:rsidRPr="0027154D" w:rsidRDefault="0032679B" w:rsidP="0032679B">
            <w:pPr>
              <w:rPr>
                <w:rFonts w:cstheme="minorHAnsi"/>
                <w:sz w:val="18"/>
              </w:rPr>
            </w:pPr>
            <w:r>
              <w:rPr>
                <w:rFonts w:cstheme="minorHAnsi"/>
                <w:sz w:val="18"/>
              </w:rPr>
              <w:t>17/12/2020</w:t>
            </w:r>
          </w:p>
        </w:tc>
        <w:tc>
          <w:tcPr>
            <w:tcW w:w="6382" w:type="dxa"/>
          </w:tcPr>
          <w:p w14:paraId="3CDE99FA" w14:textId="77777777" w:rsidR="0032679B" w:rsidRPr="0027154D" w:rsidRDefault="0032679B" w:rsidP="0032679B">
            <w:pPr>
              <w:rPr>
                <w:rFonts w:cstheme="minorHAnsi"/>
                <w:sz w:val="18"/>
              </w:rPr>
            </w:pPr>
          </w:p>
        </w:tc>
      </w:tr>
      <w:tr w:rsidR="0032679B" w:rsidRPr="0032679B" w14:paraId="0FB6E45D" w14:textId="77777777" w:rsidTr="0032679B">
        <w:tc>
          <w:tcPr>
            <w:tcW w:w="1400" w:type="dxa"/>
          </w:tcPr>
          <w:p w14:paraId="3B0B8CF5" w14:textId="77777777" w:rsidR="0032679B" w:rsidRPr="0027154D" w:rsidRDefault="0032679B" w:rsidP="0032679B">
            <w:pPr>
              <w:rPr>
                <w:rFonts w:cstheme="minorHAnsi"/>
                <w:sz w:val="18"/>
              </w:rPr>
            </w:pPr>
            <w:r>
              <w:rPr>
                <w:rFonts w:cstheme="minorHAnsi"/>
                <w:sz w:val="18"/>
              </w:rPr>
              <w:t>0.6</w:t>
            </w:r>
          </w:p>
        </w:tc>
        <w:tc>
          <w:tcPr>
            <w:tcW w:w="1278" w:type="dxa"/>
          </w:tcPr>
          <w:p w14:paraId="452B6CEB" w14:textId="2CCC1BFB" w:rsidR="0032679B" w:rsidRPr="007D6153" w:rsidRDefault="00C651C0" w:rsidP="0032679B">
            <w:pPr>
              <w:rPr>
                <w:rFonts w:cstheme="minorHAnsi"/>
                <w:sz w:val="18"/>
              </w:rPr>
            </w:pPr>
            <w:r>
              <w:rPr>
                <w:rFonts w:cstheme="minorHAnsi"/>
                <w:sz w:val="18"/>
              </w:rPr>
              <w:t>14/01</w:t>
            </w:r>
            <w:r w:rsidR="0032679B" w:rsidRPr="007D6153">
              <w:rPr>
                <w:rFonts w:cstheme="minorHAnsi"/>
                <w:sz w:val="18"/>
              </w:rPr>
              <w:t>/2022</w:t>
            </w:r>
          </w:p>
        </w:tc>
        <w:tc>
          <w:tcPr>
            <w:tcW w:w="6382" w:type="dxa"/>
          </w:tcPr>
          <w:p w14:paraId="2DFE4C03" w14:textId="725960C5" w:rsidR="0032679B" w:rsidRPr="007D6153" w:rsidRDefault="0032679B" w:rsidP="0032679B">
            <w:pPr>
              <w:rPr>
                <w:rFonts w:cstheme="minorHAnsi"/>
                <w:sz w:val="18"/>
                <w:lang w:val="en-US"/>
              </w:rPr>
            </w:pPr>
            <w:r w:rsidRPr="007D6153">
              <w:rPr>
                <w:rFonts w:cstheme="minorHAnsi"/>
                <w:sz w:val="18"/>
                <w:lang w:val="en-US"/>
              </w:rPr>
              <w:t>Four subcomponents related to the indicator «Of which non-SLA payments » for remote payments</w:t>
            </w:r>
          </w:p>
        </w:tc>
      </w:tr>
      <w:tr w:rsidR="0032679B" w:rsidRPr="0032679B" w14:paraId="5CCCE97E" w14:textId="77777777" w:rsidTr="0032679B">
        <w:tc>
          <w:tcPr>
            <w:tcW w:w="1400" w:type="dxa"/>
          </w:tcPr>
          <w:p w14:paraId="76636C05" w14:textId="4676F21C" w:rsidR="0032679B" w:rsidRPr="0032679B" w:rsidRDefault="00C651C0" w:rsidP="0032679B">
            <w:pPr>
              <w:rPr>
                <w:rFonts w:cstheme="minorHAnsi"/>
                <w:sz w:val="18"/>
                <w:lang w:val="en-US"/>
              </w:rPr>
            </w:pPr>
            <w:r>
              <w:rPr>
                <w:rFonts w:cstheme="minorHAnsi"/>
                <w:sz w:val="18"/>
                <w:lang w:val="en-US"/>
              </w:rPr>
              <w:t>0.7</w:t>
            </w:r>
          </w:p>
        </w:tc>
        <w:tc>
          <w:tcPr>
            <w:tcW w:w="1278" w:type="dxa"/>
          </w:tcPr>
          <w:p w14:paraId="5F33EA69" w14:textId="7827E10B" w:rsidR="0032679B" w:rsidRPr="0032679B" w:rsidRDefault="00C651C0" w:rsidP="0032679B">
            <w:pPr>
              <w:rPr>
                <w:rFonts w:cstheme="minorHAnsi"/>
                <w:sz w:val="18"/>
                <w:lang w:val="en-US"/>
              </w:rPr>
            </w:pPr>
            <w:r>
              <w:rPr>
                <w:rFonts w:cstheme="minorHAnsi"/>
                <w:sz w:val="18"/>
                <w:lang w:val="en-US"/>
              </w:rPr>
              <w:t>15/02/2022</w:t>
            </w:r>
          </w:p>
        </w:tc>
        <w:tc>
          <w:tcPr>
            <w:tcW w:w="6382" w:type="dxa"/>
          </w:tcPr>
          <w:p w14:paraId="65B49BE1" w14:textId="5817138F" w:rsidR="0032679B" w:rsidRPr="0032679B" w:rsidRDefault="00C651C0" w:rsidP="00CA5ED3">
            <w:pPr>
              <w:rPr>
                <w:rFonts w:cstheme="minorHAnsi"/>
                <w:sz w:val="18"/>
                <w:lang w:val="en-US"/>
              </w:rPr>
            </w:pPr>
            <w:r>
              <w:rPr>
                <w:rFonts w:cstheme="minorHAnsi"/>
                <w:sz w:val="18"/>
                <w:lang w:val="en-US"/>
              </w:rPr>
              <w:t>T</w:t>
            </w:r>
            <w:r w:rsidR="00CA5ED3">
              <w:rPr>
                <w:rFonts w:cstheme="minorHAnsi"/>
                <w:sz w:val="18"/>
                <w:lang w:val="en-US"/>
              </w:rPr>
              <w:t>wo definition amendments:</w:t>
            </w:r>
            <w:r>
              <w:rPr>
                <w:rFonts w:cstheme="minorHAnsi"/>
                <w:sz w:val="18"/>
                <w:lang w:val="en-US"/>
              </w:rPr>
              <w:t xml:space="preserve"> “</w:t>
            </w:r>
            <w:r w:rsidRPr="00C651C0">
              <w:rPr>
                <w:rFonts w:cstheme="minorHAnsi"/>
                <w:sz w:val="18"/>
                <w:lang w:val="en-US"/>
              </w:rPr>
              <w:t>Of which, 3D Secure payments without strong authentication</w:t>
            </w:r>
            <w:r>
              <w:rPr>
                <w:rFonts w:cstheme="minorHAnsi"/>
                <w:sz w:val="18"/>
                <w:lang w:val="en-US"/>
              </w:rPr>
              <w:t>”</w:t>
            </w:r>
            <w:r w:rsidR="00CA5ED3">
              <w:rPr>
                <w:rFonts w:cstheme="minorHAnsi"/>
                <w:sz w:val="18"/>
                <w:lang w:val="en-US"/>
              </w:rPr>
              <w:t xml:space="preserve"> and </w:t>
            </w:r>
            <w:r w:rsidR="00CA5ED3" w:rsidRPr="00CA5ED3">
              <w:rPr>
                <w:rFonts w:cstheme="minorHAnsi"/>
                <w:sz w:val="18"/>
                <w:lang w:val="en-US"/>
              </w:rPr>
              <w:t>“o/w Transaction "One leg"”</w:t>
            </w:r>
          </w:p>
        </w:tc>
      </w:tr>
      <w:tr w:rsidR="0032679B" w:rsidRPr="00D31DB8" w14:paraId="23375070" w14:textId="77777777" w:rsidTr="0032679B">
        <w:tc>
          <w:tcPr>
            <w:tcW w:w="1400" w:type="dxa"/>
          </w:tcPr>
          <w:p w14:paraId="3C26700C" w14:textId="74602434" w:rsidR="0032679B" w:rsidRPr="0032679B" w:rsidRDefault="00CA7DDF" w:rsidP="0032679B">
            <w:pPr>
              <w:rPr>
                <w:rFonts w:cstheme="minorHAnsi"/>
                <w:sz w:val="18"/>
                <w:lang w:val="en-US"/>
              </w:rPr>
            </w:pPr>
            <w:r>
              <w:rPr>
                <w:rFonts w:cstheme="minorHAnsi"/>
                <w:sz w:val="18"/>
                <w:lang w:val="en-US"/>
              </w:rPr>
              <w:t>0.8</w:t>
            </w:r>
          </w:p>
        </w:tc>
        <w:tc>
          <w:tcPr>
            <w:tcW w:w="1278" w:type="dxa"/>
          </w:tcPr>
          <w:p w14:paraId="29A55E11" w14:textId="1D0E1A22" w:rsidR="0032679B" w:rsidRPr="0032679B" w:rsidRDefault="00CA7DDF" w:rsidP="0032679B">
            <w:pPr>
              <w:rPr>
                <w:rFonts w:cstheme="minorHAnsi"/>
                <w:sz w:val="18"/>
                <w:lang w:val="en-US"/>
              </w:rPr>
            </w:pPr>
            <w:r>
              <w:rPr>
                <w:rFonts w:cstheme="minorHAnsi"/>
                <w:sz w:val="18"/>
                <w:lang w:val="en-US"/>
              </w:rPr>
              <w:t>07/07/2023</w:t>
            </w:r>
          </w:p>
        </w:tc>
        <w:tc>
          <w:tcPr>
            <w:tcW w:w="6382" w:type="dxa"/>
          </w:tcPr>
          <w:p w14:paraId="371F19A3" w14:textId="3BE040A8" w:rsidR="00CA7DDF" w:rsidRPr="00E01BC1" w:rsidRDefault="00CA7DDF" w:rsidP="00CA7DDF">
            <w:pPr>
              <w:rPr>
                <w:rFonts w:cstheme="minorHAnsi"/>
                <w:sz w:val="18"/>
                <w:lang w:val="en-US"/>
              </w:rPr>
            </w:pPr>
            <w:r w:rsidRPr="00E01BC1">
              <w:rPr>
                <w:rFonts w:cstheme="minorHAnsi"/>
                <w:sz w:val="18"/>
                <w:lang w:val="en-US"/>
              </w:rPr>
              <w:t xml:space="preserve">i) Exclusion of </w:t>
            </w:r>
            <w:r w:rsidR="00B1618D" w:rsidRPr="00007347">
              <w:rPr>
                <w:rFonts w:cstheme="minorHAnsi"/>
                <w:sz w:val="18"/>
                <w:lang w:val="en-US"/>
              </w:rPr>
              <w:t>e-</w:t>
            </w:r>
            <w:r w:rsidRPr="00E01BC1">
              <w:rPr>
                <w:rFonts w:cstheme="minorHAnsi"/>
                <w:sz w:val="18"/>
                <w:lang w:val="en-US"/>
              </w:rPr>
              <w:t>money card data</w:t>
            </w:r>
          </w:p>
          <w:p w14:paraId="3F27602D" w14:textId="473FDC35" w:rsidR="00CA7DDF" w:rsidRPr="00E01BC1" w:rsidRDefault="00CA7DDF" w:rsidP="00CA7DDF">
            <w:pPr>
              <w:rPr>
                <w:rFonts w:cstheme="minorHAnsi"/>
                <w:sz w:val="18"/>
                <w:lang w:val="en-US"/>
              </w:rPr>
            </w:pPr>
            <w:r w:rsidRPr="00E01BC1">
              <w:rPr>
                <w:rFonts w:cstheme="minorHAnsi"/>
                <w:sz w:val="18"/>
                <w:lang w:val="en-US"/>
              </w:rPr>
              <w:t xml:space="preserve">ii) </w:t>
            </w:r>
            <w:r w:rsidR="00D31DB8" w:rsidRPr="00E01BC1">
              <w:rPr>
                <w:rFonts w:cstheme="minorHAnsi"/>
                <w:sz w:val="18"/>
                <w:lang w:val="en-US"/>
              </w:rPr>
              <w:t xml:space="preserve">Clarification of the </w:t>
            </w:r>
            <w:r w:rsidR="00D31DB8" w:rsidRPr="00007347">
              <w:rPr>
                <w:rFonts w:cstheme="minorHAnsi"/>
                <w:sz w:val="18"/>
                <w:lang w:val="en-US"/>
              </w:rPr>
              <w:t>definition</w:t>
            </w:r>
            <w:r w:rsidR="00D31DB8" w:rsidRPr="00E01BC1">
              <w:rPr>
                <w:rFonts w:cstheme="minorHAnsi"/>
                <w:sz w:val="18"/>
                <w:lang w:val="en-US"/>
              </w:rPr>
              <w:t xml:space="preserve"> of number of device</w:t>
            </w:r>
            <w:r w:rsidR="00D31DB8">
              <w:rPr>
                <w:rFonts w:cstheme="minorHAnsi"/>
                <w:sz w:val="18"/>
                <w:lang w:val="en-US"/>
              </w:rPr>
              <w:t>s</w:t>
            </w:r>
            <w:r w:rsidR="00D31DB8" w:rsidRPr="00E01BC1">
              <w:rPr>
                <w:rFonts w:cstheme="minorHAnsi"/>
                <w:sz w:val="18"/>
                <w:lang w:val="en-US"/>
              </w:rPr>
              <w:t xml:space="preserve"> other than cards</w:t>
            </w:r>
          </w:p>
          <w:p w14:paraId="64A16FA5" w14:textId="71BE27E0" w:rsidR="00CA7DDF" w:rsidRPr="00E01BC1" w:rsidRDefault="00CA7DDF" w:rsidP="00CA7DDF">
            <w:pPr>
              <w:rPr>
                <w:rFonts w:cstheme="minorHAnsi"/>
                <w:sz w:val="18"/>
                <w:lang w:val="en-US"/>
              </w:rPr>
            </w:pPr>
            <w:r w:rsidRPr="00E01BC1">
              <w:rPr>
                <w:rFonts w:cstheme="minorHAnsi"/>
                <w:sz w:val="18"/>
                <w:lang w:val="en-US"/>
              </w:rPr>
              <w:t xml:space="preserve">iii) </w:t>
            </w:r>
            <w:r w:rsidR="00D31DB8" w:rsidRPr="00E01BC1">
              <w:rPr>
                <w:rFonts w:cstheme="minorHAnsi"/>
                <w:sz w:val="18"/>
                <w:lang w:val="en-US"/>
              </w:rPr>
              <w:t>Adding the category</w:t>
            </w:r>
            <w:r w:rsidRPr="00E01BC1">
              <w:rPr>
                <w:rFonts w:cstheme="minorHAnsi"/>
                <w:sz w:val="18"/>
                <w:lang w:val="en-US"/>
              </w:rPr>
              <w:t xml:space="preserve"> </w:t>
            </w:r>
            <w:r w:rsidR="00D31DB8">
              <w:rPr>
                <w:rFonts w:cstheme="minorHAnsi"/>
                <w:sz w:val="18"/>
                <w:lang w:val="en-US"/>
              </w:rPr>
              <w:t xml:space="preserve">“of </w:t>
            </w:r>
            <w:r w:rsidR="00D31DB8" w:rsidRPr="00E01BC1">
              <w:rPr>
                <w:rFonts w:cstheme="minorHAnsi"/>
                <w:sz w:val="18"/>
                <w:lang w:val="en-US"/>
              </w:rPr>
              <w:t>which</w:t>
            </w:r>
            <w:r w:rsidRPr="00E01BC1">
              <w:rPr>
                <w:rFonts w:cstheme="minorHAnsi"/>
                <w:sz w:val="18"/>
                <w:lang w:val="en-US"/>
              </w:rPr>
              <w:t xml:space="preserve"> </w:t>
            </w:r>
            <w:r w:rsidR="00C55AB3">
              <w:rPr>
                <w:rFonts w:cstheme="minorHAnsi"/>
                <w:sz w:val="18"/>
                <w:lang w:val="en-US"/>
              </w:rPr>
              <w:t>non</w:t>
            </w:r>
            <w:r w:rsidR="00D31DB8">
              <w:rPr>
                <w:rFonts w:cstheme="minorHAnsi"/>
                <w:sz w:val="18"/>
                <w:lang w:val="en-US"/>
              </w:rPr>
              <w:t xml:space="preserve"> 3D Secure payments with strong authentication”</w:t>
            </w:r>
          </w:p>
          <w:p w14:paraId="2044E9DB" w14:textId="2A1C4005" w:rsidR="00CA7DDF" w:rsidRPr="00E01BC1" w:rsidRDefault="00CA7DDF" w:rsidP="00D31DB8">
            <w:pPr>
              <w:rPr>
                <w:rFonts w:cstheme="minorHAnsi"/>
                <w:sz w:val="18"/>
                <w:lang w:val="en-US"/>
              </w:rPr>
            </w:pPr>
            <w:r w:rsidRPr="00E01BC1">
              <w:rPr>
                <w:rFonts w:cstheme="minorHAnsi"/>
                <w:sz w:val="18"/>
                <w:lang w:val="en-US"/>
              </w:rPr>
              <w:t xml:space="preserve">iv) </w:t>
            </w:r>
            <w:r w:rsidR="00D31DB8" w:rsidRPr="00E01BC1">
              <w:rPr>
                <w:rFonts w:cstheme="minorHAnsi"/>
                <w:sz w:val="18"/>
                <w:lang w:val="en-US"/>
              </w:rPr>
              <w:t>Clarification of the definition of</w:t>
            </w:r>
            <w:r w:rsidR="00D31DB8" w:rsidRPr="00007347">
              <w:rPr>
                <w:rFonts w:cstheme="minorHAnsi"/>
                <w:sz w:val="18"/>
                <w:lang w:val="en-US"/>
              </w:rPr>
              <w:t xml:space="preserve"> </w:t>
            </w:r>
            <w:r w:rsidR="00D31DB8">
              <w:rPr>
                <w:rFonts w:cstheme="minorHAnsi"/>
                <w:sz w:val="18"/>
                <w:lang w:val="en-US"/>
              </w:rPr>
              <w:t>“</w:t>
            </w:r>
            <w:r w:rsidRPr="00E01BC1">
              <w:rPr>
                <w:rFonts w:cstheme="minorHAnsi"/>
                <w:sz w:val="18"/>
                <w:lang w:val="en-US"/>
              </w:rPr>
              <w:t>3D Secure</w:t>
            </w:r>
            <w:r w:rsidR="00D31DB8" w:rsidRPr="00E01BC1">
              <w:rPr>
                <w:rFonts w:cstheme="minorHAnsi"/>
                <w:sz w:val="18"/>
                <w:lang w:val="en-US"/>
              </w:rPr>
              <w:t xml:space="preserve"> payments with strong authentication</w:t>
            </w:r>
            <w:r w:rsidR="00D31DB8">
              <w:rPr>
                <w:rFonts w:cstheme="minorHAnsi"/>
                <w:sz w:val="18"/>
                <w:lang w:val="en-US"/>
              </w:rPr>
              <w:t>”</w:t>
            </w:r>
            <w:r w:rsidR="00D31DB8" w:rsidRPr="00007347">
              <w:rPr>
                <w:rFonts w:cstheme="minorHAnsi"/>
                <w:sz w:val="18"/>
                <w:lang w:val="en-US"/>
              </w:rPr>
              <w:t xml:space="preserve">, </w:t>
            </w:r>
            <w:r w:rsidR="00D31DB8">
              <w:rPr>
                <w:rFonts w:cstheme="minorHAnsi"/>
                <w:sz w:val="18"/>
                <w:lang w:val="en-US"/>
              </w:rPr>
              <w:t>“</w:t>
            </w:r>
            <w:r w:rsidR="00D31DB8" w:rsidRPr="00D31DB8">
              <w:rPr>
                <w:rFonts w:cstheme="minorHAnsi"/>
                <w:sz w:val="18"/>
                <w:lang w:val="en-US"/>
              </w:rPr>
              <w:t xml:space="preserve">non 3 DS transactions </w:t>
            </w:r>
            <w:r w:rsidR="00D31DB8" w:rsidRPr="00007347">
              <w:rPr>
                <w:rFonts w:cstheme="minorHAnsi"/>
                <w:sz w:val="18"/>
                <w:lang w:val="en-US"/>
              </w:rPr>
              <w:t>and DSP2 non-compliant</w:t>
            </w:r>
            <w:r w:rsidR="00D31DB8">
              <w:rPr>
                <w:rFonts w:cstheme="minorHAnsi"/>
                <w:sz w:val="18"/>
                <w:lang w:val="en-US"/>
              </w:rPr>
              <w:t>”</w:t>
            </w:r>
            <w:r w:rsidR="00D31DB8" w:rsidRPr="00007347">
              <w:rPr>
                <w:rFonts w:cstheme="minorHAnsi"/>
                <w:sz w:val="18"/>
                <w:lang w:val="en-US"/>
              </w:rPr>
              <w:t xml:space="preserve"> et </w:t>
            </w:r>
            <w:r w:rsidR="00D31DB8">
              <w:rPr>
                <w:rFonts w:cstheme="minorHAnsi"/>
                <w:sz w:val="18"/>
                <w:lang w:val="en-US"/>
              </w:rPr>
              <w:t>“</w:t>
            </w:r>
            <w:r w:rsidR="00D31DB8" w:rsidRPr="00007347">
              <w:rPr>
                <w:rFonts w:cstheme="minorHAnsi"/>
                <w:sz w:val="18"/>
                <w:lang w:val="en-US"/>
              </w:rPr>
              <w:t>non-authenticated payments</w:t>
            </w:r>
            <w:r w:rsidR="00D31DB8">
              <w:rPr>
                <w:rFonts w:cstheme="minorHAnsi"/>
                <w:sz w:val="18"/>
                <w:lang w:val="en-US"/>
              </w:rPr>
              <w:t>”</w:t>
            </w:r>
          </w:p>
          <w:p w14:paraId="4816869F" w14:textId="69F1B3AD" w:rsidR="0032679B" w:rsidRPr="00007347" w:rsidRDefault="00CA7DDF" w:rsidP="00007347">
            <w:pPr>
              <w:rPr>
                <w:rFonts w:cstheme="minorHAnsi"/>
                <w:sz w:val="18"/>
                <w:lang w:val="en-US"/>
              </w:rPr>
            </w:pPr>
            <w:r w:rsidRPr="00E01BC1">
              <w:rPr>
                <w:rFonts w:cstheme="minorHAnsi"/>
                <w:sz w:val="18"/>
                <w:lang w:val="en-US"/>
              </w:rPr>
              <w:t xml:space="preserve">v) </w:t>
            </w:r>
            <w:r w:rsidR="00D31DB8" w:rsidRPr="00E01BC1">
              <w:rPr>
                <w:rFonts w:cstheme="minorHAnsi"/>
                <w:sz w:val="18"/>
                <w:lang w:val="en-US"/>
              </w:rPr>
              <w:t>Adding French Guyana to the appendice</w:t>
            </w:r>
            <w:r w:rsidR="00C55AB3">
              <w:rPr>
                <w:rFonts w:cstheme="minorHAnsi"/>
                <w:sz w:val="18"/>
                <w:lang w:val="en-US"/>
              </w:rPr>
              <w:t>, which defines the French zone</w:t>
            </w:r>
            <w:r w:rsidR="00D31DB8" w:rsidRPr="00E01BC1">
              <w:rPr>
                <w:rFonts w:cstheme="minorHAnsi"/>
                <w:sz w:val="18"/>
                <w:lang w:val="en-US"/>
              </w:rPr>
              <w:t>.</w:t>
            </w:r>
          </w:p>
        </w:tc>
      </w:tr>
      <w:tr w:rsidR="0032679B" w:rsidRPr="00D31DB8" w14:paraId="7B03B371" w14:textId="77777777" w:rsidTr="0032679B">
        <w:tc>
          <w:tcPr>
            <w:tcW w:w="1400" w:type="dxa"/>
          </w:tcPr>
          <w:p w14:paraId="1C15A7E4" w14:textId="77777777" w:rsidR="0032679B" w:rsidRPr="00007347" w:rsidRDefault="0032679B" w:rsidP="0032679B">
            <w:pPr>
              <w:rPr>
                <w:rFonts w:cstheme="minorHAnsi"/>
                <w:sz w:val="18"/>
                <w:lang w:val="en-US"/>
              </w:rPr>
            </w:pPr>
          </w:p>
        </w:tc>
        <w:tc>
          <w:tcPr>
            <w:tcW w:w="1278" w:type="dxa"/>
          </w:tcPr>
          <w:p w14:paraId="05D68915" w14:textId="77777777" w:rsidR="0032679B" w:rsidRPr="00D31DB8" w:rsidRDefault="0032679B" w:rsidP="0032679B">
            <w:pPr>
              <w:rPr>
                <w:rFonts w:cstheme="minorHAnsi"/>
                <w:sz w:val="18"/>
                <w:lang w:val="en-US"/>
              </w:rPr>
            </w:pPr>
          </w:p>
        </w:tc>
        <w:tc>
          <w:tcPr>
            <w:tcW w:w="6382" w:type="dxa"/>
          </w:tcPr>
          <w:p w14:paraId="1255A766" w14:textId="77777777" w:rsidR="0032679B" w:rsidRPr="00D31DB8" w:rsidRDefault="0032679B" w:rsidP="0032679B">
            <w:pPr>
              <w:rPr>
                <w:rFonts w:cstheme="minorHAnsi"/>
                <w:sz w:val="18"/>
                <w:lang w:val="en-US"/>
              </w:rPr>
            </w:pPr>
          </w:p>
        </w:tc>
      </w:tr>
    </w:tbl>
    <w:p w14:paraId="4870CBD2" w14:textId="77777777" w:rsidR="0032679B" w:rsidRPr="00007347" w:rsidRDefault="0032679B" w:rsidP="00FF57F7">
      <w:pPr>
        <w:jc w:val="center"/>
        <w:rPr>
          <w:rFonts w:ascii="Cambria,Bold" w:hAnsi="Cambria,Bold"/>
          <w:b/>
          <w:bCs/>
          <w:color w:val="548DD4" w:themeColor="text2" w:themeTint="99"/>
          <w:sz w:val="24"/>
          <w:szCs w:val="24"/>
          <w:lang w:val="en-US"/>
        </w:rPr>
      </w:pPr>
    </w:p>
    <w:p w14:paraId="7011E3BF" w14:textId="77777777" w:rsidR="0032679B" w:rsidRPr="00D31DB8" w:rsidRDefault="0032679B" w:rsidP="00FF57F7">
      <w:pPr>
        <w:jc w:val="center"/>
        <w:rPr>
          <w:rFonts w:ascii="Cambria,Bold" w:hAnsi="Cambria,Bold"/>
          <w:b/>
          <w:bCs/>
          <w:color w:val="548DD4" w:themeColor="text2" w:themeTint="99"/>
          <w:sz w:val="24"/>
          <w:szCs w:val="24"/>
          <w:lang w:val="en-US"/>
        </w:rPr>
      </w:pPr>
    </w:p>
    <w:p w14:paraId="6EEEDF35" w14:textId="77777777" w:rsidR="0032679B" w:rsidRPr="00D31DB8" w:rsidRDefault="0032679B" w:rsidP="00FF57F7">
      <w:pPr>
        <w:jc w:val="center"/>
        <w:rPr>
          <w:rFonts w:ascii="Cambria,Bold" w:hAnsi="Cambria,Bold"/>
          <w:b/>
          <w:bCs/>
          <w:color w:val="548DD4" w:themeColor="text2" w:themeTint="99"/>
          <w:sz w:val="24"/>
          <w:szCs w:val="24"/>
          <w:lang w:val="en-US"/>
        </w:rPr>
      </w:pPr>
    </w:p>
    <w:p w14:paraId="7FCCABEA" w14:textId="77777777" w:rsidR="0032679B" w:rsidRPr="00D31DB8" w:rsidRDefault="0032679B" w:rsidP="00FF57F7">
      <w:pPr>
        <w:jc w:val="center"/>
        <w:rPr>
          <w:rFonts w:ascii="Cambria,Bold" w:hAnsi="Cambria,Bold"/>
          <w:b/>
          <w:bCs/>
          <w:color w:val="548DD4" w:themeColor="text2" w:themeTint="99"/>
          <w:sz w:val="24"/>
          <w:szCs w:val="24"/>
          <w:lang w:val="en-US"/>
        </w:rPr>
      </w:pPr>
    </w:p>
    <w:p w14:paraId="14DA50CE" w14:textId="77777777" w:rsidR="0032679B" w:rsidRPr="00D31DB8" w:rsidRDefault="0032679B" w:rsidP="00FF57F7">
      <w:pPr>
        <w:jc w:val="center"/>
        <w:rPr>
          <w:rFonts w:ascii="Cambria,Bold" w:hAnsi="Cambria,Bold"/>
          <w:b/>
          <w:bCs/>
          <w:color w:val="548DD4" w:themeColor="text2" w:themeTint="99"/>
          <w:sz w:val="24"/>
          <w:szCs w:val="24"/>
          <w:lang w:val="en-US"/>
        </w:rPr>
      </w:pPr>
    </w:p>
    <w:p w14:paraId="2BD9EC83" w14:textId="77777777" w:rsidR="0032679B" w:rsidRPr="00D31DB8" w:rsidRDefault="0032679B" w:rsidP="00FF57F7">
      <w:pPr>
        <w:jc w:val="center"/>
        <w:rPr>
          <w:rFonts w:ascii="Cambria,Bold" w:hAnsi="Cambria,Bold"/>
          <w:b/>
          <w:bCs/>
          <w:color w:val="548DD4" w:themeColor="text2" w:themeTint="99"/>
          <w:sz w:val="24"/>
          <w:szCs w:val="24"/>
          <w:lang w:val="en-US"/>
        </w:rPr>
      </w:pPr>
    </w:p>
    <w:p w14:paraId="434CC353" w14:textId="77777777" w:rsidR="0032679B" w:rsidRPr="00D31DB8" w:rsidRDefault="0032679B" w:rsidP="00FF57F7">
      <w:pPr>
        <w:jc w:val="center"/>
        <w:rPr>
          <w:rFonts w:ascii="Cambria,Bold" w:hAnsi="Cambria,Bold"/>
          <w:b/>
          <w:bCs/>
          <w:color w:val="548DD4" w:themeColor="text2" w:themeTint="99"/>
          <w:sz w:val="24"/>
          <w:szCs w:val="24"/>
          <w:lang w:val="en-US"/>
        </w:rPr>
      </w:pPr>
    </w:p>
    <w:p w14:paraId="5E23E291" w14:textId="77777777" w:rsidR="0032679B" w:rsidRPr="00D31DB8" w:rsidRDefault="0032679B" w:rsidP="00FF57F7">
      <w:pPr>
        <w:jc w:val="center"/>
        <w:rPr>
          <w:rFonts w:ascii="Cambria,Bold" w:hAnsi="Cambria,Bold"/>
          <w:b/>
          <w:bCs/>
          <w:color w:val="548DD4" w:themeColor="text2" w:themeTint="99"/>
          <w:sz w:val="24"/>
          <w:szCs w:val="24"/>
          <w:lang w:val="en-US"/>
        </w:rPr>
      </w:pPr>
    </w:p>
    <w:p w14:paraId="1B240151" w14:textId="77777777" w:rsidR="0032679B" w:rsidRPr="00D31DB8" w:rsidRDefault="0032679B" w:rsidP="00FF57F7">
      <w:pPr>
        <w:jc w:val="center"/>
        <w:rPr>
          <w:rFonts w:ascii="Cambria,Bold" w:hAnsi="Cambria,Bold"/>
          <w:b/>
          <w:bCs/>
          <w:color w:val="548DD4" w:themeColor="text2" w:themeTint="99"/>
          <w:sz w:val="24"/>
          <w:szCs w:val="24"/>
          <w:lang w:val="en-US"/>
        </w:rPr>
      </w:pPr>
    </w:p>
    <w:p w14:paraId="51AE4081" w14:textId="77777777" w:rsidR="0032679B" w:rsidRPr="00D31DB8" w:rsidRDefault="0032679B" w:rsidP="00FF57F7">
      <w:pPr>
        <w:jc w:val="center"/>
        <w:rPr>
          <w:rFonts w:ascii="Cambria,Bold" w:hAnsi="Cambria,Bold"/>
          <w:b/>
          <w:bCs/>
          <w:color w:val="548DD4" w:themeColor="text2" w:themeTint="99"/>
          <w:sz w:val="24"/>
          <w:szCs w:val="24"/>
          <w:lang w:val="en-US"/>
        </w:rPr>
      </w:pPr>
    </w:p>
    <w:p w14:paraId="5BE7611F" w14:textId="77777777" w:rsidR="0032679B" w:rsidRPr="00D31DB8" w:rsidRDefault="0032679B" w:rsidP="00FF57F7">
      <w:pPr>
        <w:jc w:val="center"/>
        <w:rPr>
          <w:rFonts w:ascii="Cambria,Bold" w:hAnsi="Cambria,Bold"/>
          <w:b/>
          <w:bCs/>
          <w:color w:val="548DD4" w:themeColor="text2" w:themeTint="99"/>
          <w:sz w:val="24"/>
          <w:szCs w:val="24"/>
          <w:lang w:val="en-US"/>
        </w:rPr>
      </w:pPr>
    </w:p>
    <w:p w14:paraId="229E5430" w14:textId="77777777" w:rsidR="0032679B" w:rsidRPr="00D31DB8" w:rsidRDefault="0032679B" w:rsidP="00FF57F7">
      <w:pPr>
        <w:jc w:val="center"/>
        <w:rPr>
          <w:rFonts w:ascii="Cambria,Bold" w:hAnsi="Cambria,Bold"/>
          <w:b/>
          <w:bCs/>
          <w:color w:val="548DD4" w:themeColor="text2" w:themeTint="99"/>
          <w:sz w:val="24"/>
          <w:szCs w:val="24"/>
          <w:lang w:val="en-US"/>
        </w:rPr>
      </w:pPr>
    </w:p>
    <w:p w14:paraId="2655ECBD" w14:textId="77777777" w:rsidR="0032679B" w:rsidRPr="00D31DB8" w:rsidRDefault="0032679B" w:rsidP="00FF57F7">
      <w:pPr>
        <w:jc w:val="center"/>
        <w:rPr>
          <w:rFonts w:ascii="Cambria,Bold" w:hAnsi="Cambria,Bold"/>
          <w:b/>
          <w:bCs/>
          <w:color w:val="548DD4" w:themeColor="text2" w:themeTint="99"/>
          <w:sz w:val="24"/>
          <w:szCs w:val="24"/>
          <w:lang w:val="en-US"/>
        </w:rPr>
      </w:pPr>
    </w:p>
    <w:p w14:paraId="1D27F99D" w14:textId="77777777" w:rsidR="0032679B" w:rsidRPr="00D31DB8" w:rsidRDefault="0032679B" w:rsidP="00FF57F7">
      <w:pPr>
        <w:jc w:val="center"/>
        <w:rPr>
          <w:rFonts w:ascii="Cambria,Bold" w:hAnsi="Cambria,Bold"/>
          <w:b/>
          <w:bCs/>
          <w:color w:val="548DD4" w:themeColor="text2" w:themeTint="99"/>
          <w:sz w:val="24"/>
          <w:szCs w:val="24"/>
          <w:lang w:val="en-US"/>
        </w:rPr>
      </w:pPr>
    </w:p>
    <w:p w14:paraId="4EBF9FA9" w14:textId="77777777" w:rsidR="0032679B" w:rsidRPr="00D31DB8" w:rsidRDefault="0032679B" w:rsidP="00FF57F7">
      <w:pPr>
        <w:jc w:val="center"/>
        <w:rPr>
          <w:rFonts w:ascii="Cambria,Bold" w:hAnsi="Cambria,Bold"/>
          <w:b/>
          <w:bCs/>
          <w:color w:val="548DD4" w:themeColor="text2" w:themeTint="99"/>
          <w:sz w:val="24"/>
          <w:szCs w:val="24"/>
          <w:lang w:val="en-US"/>
        </w:rPr>
      </w:pPr>
    </w:p>
    <w:p w14:paraId="40F85DD8" w14:textId="77777777" w:rsidR="0032679B" w:rsidRPr="00D31DB8" w:rsidRDefault="0032679B" w:rsidP="00FF57F7">
      <w:pPr>
        <w:jc w:val="center"/>
        <w:rPr>
          <w:rFonts w:ascii="Cambria,Bold" w:hAnsi="Cambria,Bold"/>
          <w:b/>
          <w:bCs/>
          <w:color w:val="548DD4" w:themeColor="text2" w:themeTint="99"/>
          <w:sz w:val="24"/>
          <w:szCs w:val="24"/>
          <w:lang w:val="en-US"/>
        </w:rPr>
      </w:pPr>
    </w:p>
    <w:p w14:paraId="6E27F1DD" w14:textId="77777777" w:rsidR="0032679B" w:rsidRPr="00D31DB8" w:rsidRDefault="0032679B" w:rsidP="00FF57F7">
      <w:pPr>
        <w:jc w:val="center"/>
        <w:rPr>
          <w:rFonts w:ascii="Cambria,Bold" w:hAnsi="Cambria,Bold"/>
          <w:b/>
          <w:bCs/>
          <w:color w:val="548DD4" w:themeColor="text2" w:themeTint="99"/>
          <w:sz w:val="24"/>
          <w:szCs w:val="24"/>
          <w:lang w:val="en-US"/>
        </w:rPr>
      </w:pPr>
    </w:p>
    <w:p w14:paraId="51CDF562" w14:textId="77777777" w:rsidR="0032679B" w:rsidRPr="00D31DB8" w:rsidRDefault="0032679B" w:rsidP="00FF57F7">
      <w:pPr>
        <w:jc w:val="center"/>
        <w:rPr>
          <w:rFonts w:ascii="Cambria,Bold" w:hAnsi="Cambria,Bold"/>
          <w:b/>
          <w:bCs/>
          <w:color w:val="548DD4" w:themeColor="text2" w:themeTint="99"/>
          <w:sz w:val="24"/>
          <w:szCs w:val="24"/>
          <w:lang w:val="en-US"/>
        </w:rPr>
      </w:pPr>
    </w:p>
    <w:p w14:paraId="0648CF69" w14:textId="77777777" w:rsidR="0032679B" w:rsidRPr="00D31DB8" w:rsidRDefault="0032679B" w:rsidP="00FF57F7">
      <w:pPr>
        <w:jc w:val="center"/>
        <w:rPr>
          <w:rFonts w:ascii="Cambria,Bold" w:hAnsi="Cambria,Bold"/>
          <w:b/>
          <w:bCs/>
          <w:color w:val="548DD4" w:themeColor="text2" w:themeTint="99"/>
          <w:sz w:val="24"/>
          <w:szCs w:val="24"/>
          <w:lang w:val="en-US"/>
        </w:rPr>
      </w:pPr>
    </w:p>
    <w:p w14:paraId="3B8DB945" w14:textId="77777777" w:rsidR="0032679B" w:rsidRPr="00D31DB8" w:rsidRDefault="0032679B" w:rsidP="00FF57F7">
      <w:pPr>
        <w:jc w:val="center"/>
        <w:rPr>
          <w:rFonts w:ascii="Cambria,Bold" w:hAnsi="Cambria,Bold"/>
          <w:b/>
          <w:bCs/>
          <w:color w:val="548DD4" w:themeColor="text2" w:themeTint="99"/>
          <w:sz w:val="24"/>
          <w:szCs w:val="24"/>
          <w:lang w:val="en-US"/>
        </w:rPr>
      </w:pPr>
    </w:p>
    <w:p w14:paraId="36535451" w14:textId="77777777" w:rsidR="0032679B" w:rsidRPr="00D31DB8" w:rsidRDefault="0032679B" w:rsidP="00FF57F7">
      <w:pPr>
        <w:jc w:val="center"/>
        <w:rPr>
          <w:rFonts w:ascii="Cambria,Bold" w:hAnsi="Cambria,Bold"/>
          <w:b/>
          <w:bCs/>
          <w:color w:val="548DD4" w:themeColor="text2" w:themeTint="99"/>
          <w:sz w:val="24"/>
          <w:szCs w:val="24"/>
          <w:lang w:val="en-US"/>
        </w:rPr>
      </w:pPr>
    </w:p>
    <w:p w14:paraId="219538F1" w14:textId="77777777" w:rsidR="0032679B" w:rsidRPr="00D31DB8" w:rsidRDefault="0032679B" w:rsidP="00FF57F7">
      <w:pPr>
        <w:jc w:val="center"/>
        <w:rPr>
          <w:rFonts w:ascii="Cambria,Bold" w:hAnsi="Cambria,Bold"/>
          <w:b/>
          <w:bCs/>
          <w:color w:val="548DD4" w:themeColor="text2" w:themeTint="99"/>
          <w:sz w:val="24"/>
          <w:szCs w:val="24"/>
          <w:lang w:val="en-US"/>
        </w:rPr>
      </w:pPr>
    </w:p>
    <w:p w14:paraId="16E5F162" w14:textId="77777777" w:rsidR="0032679B" w:rsidRPr="00D31DB8" w:rsidRDefault="0032679B" w:rsidP="00FF57F7">
      <w:pPr>
        <w:jc w:val="center"/>
        <w:rPr>
          <w:rFonts w:ascii="Cambria,Bold" w:hAnsi="Cambria,Bold"/>
          <w:b/>
          <w:bCs/>
          <w:color w:val="548DD4" w:themeColor="text2" w:themeTint="99"/>
          <w:sz w:val="24"/>
          <w:szCs w:val="24"/>
          <w:lang w:val="en-US"/>
        </w:rPr>
      </w:pPr>
    </w:p>
    <w:p w14:paraId="6455F457" w14:textId="77777777" w:rsidR="0032679B" w:rsidRPr="00D31DB8" w:rsidRDefault="0032679B" w:rsidP="00FF57F7">
      <w:pPr>
        <w:jc w:val="center"/>
        <w:rPr>
          <w:rFonts w:ascii="Cambria,Bold" w:hAnsi="Cambria,Bold"/>
          <w:b/>
          <w:bCs/>
          <w:color w:val="548DD4" w:themeColor="text2" w:themeTint="99"/>
          <w:sz w:val="24"/>
          <w:szCs w:val="24"/>
          <w:lang w:val="en-US"/>
        </w:rPr>
      </w:pPr>
    </w:p>
    <w:p w14:paraId="33665B77" w14:textId="77777777" w:rsidR="0032679B" w:rsidRPr="00D31DB8" w:rsidRDefault="0032679B" w:rsidP="00FF57F7">
      <w:pPr>
        <w:jc w:val="center"/>
        <w:rPr>
          <w:rFonts w:ascii="Cambria,Bold" w:hAnsi="Cambria,Bold"/>
          <w:b/>
          <w:bCs/>
          <w:color w:val="548DD4" w:themeColor="text2" w:themeTint="99"/>
          <w:sz w:val="24"/>
          <w:szCs w:val="24"/>
          <w:lang w:val="en-US"/>
        </w:rPr>
      </w:pPr>
    </w:p>
    <w:p w14:paraId="2A87B7A4" w14:textId="77777777" w:rsidR="0032679B" w:rsidRPr="00D31DB8" w:rsidRDefault="0032679B" w:rsidP="00FF57F7">
      <w:pPr>
        <w:jc w:val="center"/>
        <w:rPr>
          <w:rFonts w:ascii="Cambria,Bold" w:hAnsi="Cambria,Bold"/>
          <w:b/>
          <w:bCs/>
          <w:color w:val="548DD4" w:themeColor="text2" w:themeTint="99"/>
          <w:sz w:val="24"/>
          <w:szCs w:val="24"/>
          <w:lang w:val="en-US"/>
        </w:rPr>
      </w:pPr>
    </w:p>
    <w:p w14:paraId="39F02FFB" w14:textId="77777777" w:rsidR="0032679B" w:rsidRPr="00D31DB8" w:rsidRDefault="0032679B" w:rsidP="00FF57F7">
      <w:pPr>
        <w:jc w:val="center"/>
        <w:rPr>
          <w:rFonts w:ascii="Cambria,Bold" w:hAnsi="Cambria,Bold"/>
          <w:b/>
          <w:bCs/>
          <w:color w:val="548DD4" w:themeColor="text2" w:themeTint="99"/>
          <w:sz w:val="24"/>
          <w:szCs w:val="24"/>
          <w:lang w:val="en-US"/>
        </w:rPr>
      </w:pPr>
    </w:p>
    <w:p w14:paraId="59D12D84" w14:textId="06D1CE9E" w:rsidR="00601DCE" w:rsidRDefault="0029299B" w:rsidP="00FF57F7">
      <w:pPr>
        <w:jc w:val="center"/>
        <w:rPr>
          <w:rFonts w:ascii="Cambria,Bold" w:hAnsi="Cambria,Bold" w:cs="Cambria,Bold"/>
          <w:b/>
          <w:bCs/>
          <w:color w:val="548DD4" w:themeColor="text2" w:themeTint="99"/>
          <w:sz w:val="24"/>
          <w:szCs w:val="24"/>
        </w:rPr>
      </w:pPr>
      <w:r>
        <w:rPr>
          <w:rFonts w:ascii="Cambria,Bold" w:hAnsi="Cambria,Bold"/>
          <w:b/>
          <w:bCs/>
          <w:color w:val="548DD4" w:themeColor="text2" w:themeTint="99"/>
          <w:sz w:val="24"/>
          <w:szCs w:val="24"/>
        </w:rPr>
        <w:t>Foreword</w:t>
      </w:r>
    </w:p>
    <w:p w14:paraId="48CC0595" w14:textId="53AB36E5" w:rsidR="0029299B" w:rsidRDefault="0029299B" w:rsidP="00FF57F7">
      <w:pPr>
        <w:jc w:val="both"/>
      </w:pPr>
      <w:r>
        <w:t>Th</w:t>
      </w:r>
      <w:r w:rsidR="00B1618D">
        <w:t>e</w:t>
      </w:r>
      <w:r>
        <w:t xml:space="preserve"> O</w:t>
      </w:r>
      <w:r w:rsidR="007067C4">
        <w:t>bservatory</w:t>
      </w:r>
      <w:r>
        <w:t xml:space="preserve">’s guide to completion for its data collection takes into account the implementation of the EBA guidelines for French payment service providers </w:t>
      </w:r>
      <w:r w:rsidR="00B1618D">
        <w:t>since</w:t>
      </w:r>
      <w:r>
        <w:t xml:space="preserve"> 1</w:t>
      </w:r>
      <w:r w:rsidR="00B1618D" w:rsidRPr="00E01BC1">
        <w:rPr>
          <w:vertAlign w:val="superscript"/>
        </w:rPr>
        <w:t>st</w:t>
      </w:r>
      <w:r>
        <w:t xml:space="preserve"> January 2021. The main changes to the data collection process </w:t>
      </w:r>
      <w:r w:rsidR="00B1618D">
        <w:t>were</w:t>
      </w:r>
      <w:r>
        <w:t>:</w:t>
      </w:r>
    </w:p>
    <w:p w14:paraId="55FEFCCB" w14:textId="6A65D2EB" w:rsidR="002D1656" w:rsidRDefault="002D1656" w:rsidP="00FF57F7">
      <w:pPr>
        <w:pStyle w:val="Paragraphedeliste"/>
        <w:numPr>
          <w:ilvl w:val="0"/>
          <w:numId w:val="21"/>
        </w:numPr>
        <w:jc w:val="both"/>
      </w:pPr>
      <w:r>
        <w:t xml:space="preserve">returns </w:t>
      </w:r>
      <w:r w:rsidR="00B1618D">
        <w:t>is</w:t>
      </w:r>
      <w:r>
        <w:t xml:space="preserve"> required every six months;</w:t>
      </w:r>
    </w:p>
    <w:p w14:paraId="3234E584" w14:textId="77777777" w:rsidR="002D1656" w:rsidRDefault="002D1656" w:rsidP="00FF57F7">
      <w:pPr>
        <w:pStyle w:val="Paragraphedeliste"/>
        <w:numPr>
          <w:ilvl w:val="0"/>
          <w:numId w:val="21"/>
        </w:numPr>
        <w:jc w:val="both"/>
      </w:pPr>
      <w:r>
        <w:t>data will be broken down geographically by the following regions – France, abroad within the European Economic Area (EEA) and outside the EEA;</w:t>
      </w:r>
    </w:p>
    <w:p w14:paraId="3255D6C4" w14:textId="77777777" w:rsidR="002B4213" w:rsidRPr="00FF57F7" w:rsidRDefault="002B4213" w:rsidP="00FF57F7">
      <w:pPr>
        <w:pStyle w:val="Paragraphedeliste"/>
        <w:numPr>
          <w:ilvl w:val="0"/>
          <w:numId w:val="21"/>
        </w:numPr>
        <w:jc w:val="both"/>
      </w:pPr>
      <w:r>
        <w:t>transaction authentication methods will be monitored.</w:t>
      </w:r>
    </w:p>
    <w:p w14:paraId="221CE091" w14:textId="77777777" w:rsidR="0029299B" w:rsidRDefault="0029299B" w:rsidP="00FD47E4">
      <w:pPr>
        <w:rPr>
          <w:rFonts w:ascii="Cambria,Bold" w:hAnsi="Cambria,Bold" w:cs="Cambria,Bold"/>
          <w:b/>
          <w:bCs/>
          <w:color w:val="548DD4" w:themeColor="text2" w:themeTint="99"/>
          <w:sz w:val="24"/>
          <w:szCs w:val="24"/>
        </w:rPr>
      </w:pPr>
    </w:p>
    <w:p w14:paraId="489D9DA2" w14:textId="77777777" w:rsidR="001752B5" w:rsidRDefault="001752B5">
      <w:pPr>
        <w:rPr>
          <w:rFonts w:ascii="Cambria,Bold" w:hAnsi="Cambria,Bold" w:cs="Cambria,Bold"/>
          <w:b/>
          <w:bCs/>
          <w:color w:val="548DD4" w:themeColor="text2" w:themeTint="99"/>
          <w:sz w:val="24"/>
          <w:szCs w:val="24"/>
        </w:rPr>
      </w:pPr>
      <w:r>
        <w:br w:type="page"/>
      </w:r>
    </w:p>
    <w:p w14:paraId="48DFD977" w14:textId="76D44666" w:rsidR="00FB623E" w:rsidRPr="00FD47E4" w:rsidRDefault="00FD47E4" w:rsidP="00FD47E4">
      <w:pPr>
        <w:rPr>
          <w:color w:val="548DD4" w:themeColor="text2" w:themeTint="99"/>
        </w:rPr>
      </w:pPr>
      <w:r>
        <w:rPr>
          <w:rFonts w:ascii="Cambria,Bold" w:hAnsi="Cambria,Bold"/>
          <w:b/>
          <w:bCs/>
          <w:color w:val="548DD4" w:themeColor="text2" w:themeTint="99"/>
          <w:sz w:val="24"/>
          <w:szCs w:val="24"/>
        </w:rPr>
        <w:lastRenderedPageBreak/>
        <w:t>1. Introduction</w:t>
      </w:r>
    </w:p>
    <w:p w14:paraId="4EA68C50" w14:textId="77777777" w:rsidR="00674A63" w:rsidRPr="00674A63" w:rsidRDefault="005769FB" w:rsidP="006B1F81">
      <w:pPr>
        <w:jc w:val="both"/>
        <w:rPr>
          <w:rFonts w:cs="Segoe UI"/>
          <w:color w:val="000000"/>
          <w:sz w:val="20"/>
          <w:szCs w:val="20"/>
        </w:rPr>
      </w:pPr>
      <w:r>
        <w:t xml:space="preserve">Pursuant to Articles L. 141-4 and R. 141-1 of the </w:t>
      </w:r>
      <w:r>
        <w:rPr>
          <w:i/>
          <w:iCs/>
        </w:rPr>
        <w:t>Code monétaire et financier</w:t>
      </w:r>
      <w:r>
        <w:t xml:space="preserve"> (the French Monetary and Financial Code), the Observatory for the Security of Payment Means is responsible for preparing harmonised payment means fraud statistics for publication within its annual report (the English language version is available at: </w:t>
      </w:r>
      <w:hyperlink r:id="rId9" w:history="1">
        <w:r>
          <w:rPr>
            <w:rStyle w:val="Lienhypertexte"/>
            <w:sz w:val="20"/>
            <w:szCs w:val="20"/>
          </w:rPr>
          <w:t>https://www.banque-france.fr/en/liste-chronologique/annual-activity-report</w:t>
        </w:r>
      </w:hyperlink>
      <w:r>
        <w:rPr>
          <w:color w:val="000000"/>
          <w:sz w:val="20"/>
          <w:szCs w:val="20"/>
        </w:rPr>
        <w:t>).</w:t>
      </w:r>
    </w:p>
    <w:p w14:paraId="6661A9FC" w14:textId="268E753D" w:rsidR="00DF1E6E" w:rsidRDefault="00674A63" w:rsidP="006B1F81">
      <w:pPr>
        <w:jc w:val="both"/>
      </w:pPr>
      <w:r>
        <w:rPr>
          <w:rFonts w:ascii="Segoe UI" w:hAnsi="Segoe UI"/>
          <w:color w:val="000000"/>
          <w:sz w:val="20"/>
          <w:szCs w:val="20"/>
        </w:rPr>
        <w:t> </w:t>
      </w:r>
      <w:r>
        <w:t xml:space="preserve">To this end, the Banque de France, in its capacity as the secretariat of the Observatory, collects payment card data used to assess fraud </w:t>
      </w:r>
      <w:r w:rsidR="009C4E29">
        <w:t>on</w:t>
      </w:r>
      <w:r>
        <w:t>:</w:t>
      </w:r>
    </w:p>
    <w:p w14:paraId="4BC308FB" w14:textId="28C5D2F3" w:rsidR="0078070D" w:rsidRPr="004F55EE" w:rsidRDefault="00527DFA" w:rsidP="0078070D">
      <w:pPr>
        <w:pStyle w:val="Paragraphedeliste"/>
        <w:numPr>
          <w:ilvl w:val="0"/>
          <w:numId w:val="7"/>
        </w:numPr>
        <w:jc w:val="both"/>
      </w:pPr>
      <w:r>
        <w:t>domestic and international four-party card payment s</w:t>
      </w:r>
      <w:r w:rsidR="002F72A6">
        <w:t>cheme</w:t>
      </w:r>
      <w:r>
        <w:t>s operating in France for transactions carried out by their members; and</w:t>
      </w:r>
    </w:p>
    <w:p w14:paraId="143C5642" w14:textId="77777777" w:rsidR="0078070D" w:rsidRPr="004F55EE" w:rsidRDefault="0078070D" w:rsidP="0078070D">
      <w:pPr>
        <w:pStyle w:val="Paragraphedeliste"/>
        <w:jc w:val="both"/>
      </w:pPr>
    </w:p>
    <w:p w14:paraId="69C5E9FB" w14:textId="6A2165F4" w:rsidR="0078070D" w:rsidRPr="004F55EE" w:rsidRDefault="00007D92" w:rsidP="0078070D">
      <w:pPr>
        <w:pStyle w:val="Paragraphedeliste"/>
        <w:numPr>
          <w:ilvl w:val="0"/>
          <w:numId w:val="7"/>
        </w:numPr>
        <w:jc w:val="both"/>
      </w:pPr>
      <w:r>
        <w:t>domestic and international three-party card issuers operating in France.</w:t>
      </w:r>
    </w:p>
    <w:p w14:paraId="68AE3160" w14:textId="5474AD6F" w:rsidR="00734610" w:rsidRDefault="00CE0926" w:rsidP="0095453F">
      <w:pPr>
        <w:jc w:val="both"/>
      </w:pPr>
      <w:r>
        <w:t xml:space="preserve">This guide for completion provides all the information needed to correctly fill in the data </w:t>
      </w:r>
      <w:r w:rsidR="0045617B">
        <w:t>collection</w:t>
      </w:r>
      <w:r>
        <w:t>. A glossary of terms used in the guide can be found in the appendix.</w:t>
      </w:r>
    </w:p>
    <w:p w14:paraId="7DA91EFD" w14:textId="77777777" w:rsidR="0095453F" w:rsidRDefault="0095453F" w:rsidP="00E15E10">
      <w:pPr>
        <w:jc w:val="both"/>
      </w:pPr>
    </w:p>
    <w:p w14:paraId="5C16DE6C" w14:textId="100140A1" w:rsidR="00460704" w:rsidRDefault="00460704" w:rsidP="00E15E10">
      <w:pPr>
        <w:jc w:val="both"/>
      </w:pPr>
      <w:r>
        <w:sym w:font="Wingdings" w:char="F046"/>
      </w:r>
      <w:r>
        <w:rPr>
          <w:u w:val="single"/>
        </w:rPr>
        <w:t>For the attention of institutions that issue both three and four-party cards</w:t>
      </w:r>
      <w:r>
        <w:t>: only data related to three-party cards should be declared; four-party card</w:t>
      </w:r>
      <w:r w:rsidR="002F72A6">
        <w:t>s</w:t>
      </w:r>
      <w:r>
        <w:t xml:space="preserve"> data should be submitted by the appropriate four-party card scheme </w:t>
      </w:r>
      <w:r w:rsidR="002F72A6">
        <w:t>governance authority</w:t>
      </w:r>
      <w:r>
        <w:t>.</w:t>
      </w:r>
    </w:p>
    <w:p w14:paraId="62C26A58" w14:textId="77777777" w:rsidR="001752B5" w:rsidRDefault="001752B5" w:rsidP="001752B5"/>
    <w:p w14:paraId="745FC1A7" w14:textId="32B5808C" w:rsidR="001752B5" w:rsidRDefault="001752B5">
      <w:pPr>
        <w:rPr>
          <w:rFonts w:ascii="Cambria,Bold" w:hAnsi="Cambria,Bold" w:cs="Cambria,Bold"/>
          <w:b/>
          <w:bCs/>
          <w:color w:val="548DD4" w:themeColor="text2" w:themeTint="99"/>
          <w:sz w:val="24"/>
          <w:szCs w:val="24"/>
        </w:rPr>
      </w:pPr>
      <w:r>
        <w:br w:type="page"/>
      </w:r>
    </w:p>
    <w:p w14:paraId="18951D81" w14:textId="28E8C49E" w:rsidR="00633383" w:rsidRPr="00555C2C" w:rsidRDefault="00FD47E4" w:rsidP="00633383">
      <w:pPr>
        <w:rPr>
          <w:rFonts w:ascii="Cambria,Bold" w:hAnsi="Cambria,Bold" w:cs="Cambria,Bold"/>
          <w:b/>
          <w:bCs/>
          <w:color w:val="548DD4" w:themeColor="text2" w:themeTint="99"/>
          <w:sz w:val="24"/>
          <w:szCs w:val="24"/>
        </w:rPr>
      </w:pPr>
      <w:r>
        <w:rPr>
          <w:rFonts w:ascii="Cambria,Bold" w:hAnsi="Cambria,Bold"/>
          <w:b/>
          <w:bCs/>
          <w:color w:val="548DD4" w:themeColor="text2" w:themeTint="99"/>
          <w:sz w:val="24"/>
          <w:szCs w:val="24"/>
        </w:rPr>
        <w:lastRenderedPageBreak/>
        <w:t>2. An overview of the data collection process</w:t>
      </w:r>
    </w:p>
    <w:p w14:paraId="2B999ED4" w14:textId="0670E5BA" w:rsidR="00CB0367" w:rsidRDefault="0034453C" w:rsidP="00AF6C20">
      <w:pPr>
        <w:pStyle w:val="Paragraphedeliste"/>
        <w:numPr>
          <w:ilvl w:val="0"/>
          <w:numId w:val="6"/>
        </w:numPr>
        <w:ind w:left="284" w:hanging="284"/>
        <w:jc w:val="both"/>
      </w:pPr>
      <w:r>
        <w:rPr>
          <w:b/>
          <w:i/>
        </w:rPr>
        <w:t>Type of collected data</w:t>
      </w:r>
      <w:r>
        <w:t xml:space="preserve">: the number and value of fraudulent transactions as well as the total number and value of all transactions performed in order to calculate the associated fraud rates. This includes all payments (face-to-face and remote) and withdrawals made using a payment card in France and abroad </w:t>
      </w:r>
      <w:r>
        <w:rPr>
          <w:b/>
        </w:rPr>
        <w:t>when one of the counterparties to the transaction is considered to be French</w:t>
      </w:r>
      <w:r>
        <w:t>: when the issuer is a French institution or the transaction is accepted in France (a merchant established or ATM located in France).</w:t>
      </w:r>
      <w:r w:rsidR="00B1618D">
        <w:t xml:space="preserve"> </w:t>
      </w:r>
      <w:r w:rsidR="00C55AB3">
        <w:t>Data on e-money cards</w:t>
      </w:r>
      <w:r w:rsidR="00B1618D">
        <w:t>, of which prepaid cards</w:t>
      </w:r>
      <w:r w:rsidR="00C55AB3">
        <w:t>,</w:t>
      </w:r>
      <w:r w:rsidR="00B1618D">
        <w:t xml:space="preserve"> are excluded of the collection.</w:t>
      </w:r>
    </w:p>
    <w:p w14:paraId="3F6EF100" w14:textId="77777777" w:rsidR="00504AF2" w:rsidRDefault="00504AF2" w:rsidP="00504AF2">
      <w:pPr>
        <w:pStyle w:val="Paragraphedeliste"/>
        <w:ind w:left="284"/>
        <w:jc w:val="both"/>
      </w:pPr>
    </w:p>
    <w:p w14:paraId="1E205981" w14:textId="77777777" w:rsidR="00FC61F3" w:rsidRPr="00504AF2" w:rsidRDefault="00504AF2" w:rsidP="00504AF2">
      <w:pPr>
        <w:pStyle w:val="Paragraphedeliste"/>
        <w:numPr>
          <w:ilvl w:val="0"/>
          <w:numId w:val="6"/>
        </w:numPr>
        <w:ind w:left="284" w:hanging="284"/>
        <w:jc w:val="both"/>
      </w:pPr>
      <w:r>
        <w:rPr>
          <w:b/>
          <w:i/>
        </w:rPr>
        <w:t>Presentation of collected data</w:t>
      </w:r>
      <w:r>
        <w:t xml:space="preserve">: volumes should be presented in units and values should be presented </w:t>
      </w:r>
      <w:r w:rsidRPr="00C1111A">
        <w:t>in euro. If the</w:t>
      </w:r>
      <w:r>
        <w:t xml:space="preserve"> source data is denominated in another currency, they should be converted into euro, preferably using the ECB’s published euro foreign exchange reference rates (</w:t>
      </w:r>
      <w:r>
        <w:rPr>
          <w:i/>
        </w:rPr>
        <w:t>www.ecb.int</w:t>
      </w:r>
      <w:r>
        <w:t>). Note that the ECB publishes conversion rates for each working day as well as monthly, quarterly and half-yearly averages.</w:t>
      </w:r>
    </w:p>
    <w:p w14:paraId="5A166ECC" w14:textId="77777777" w:rsidR="005F5861" w:rsidRDefault="005F5861" w:rsidP="005F5861">
      <w:pPr>
        <w:pStyle w:val="Paragraphedeliste"/>
      </w:pPr>
    </w:p>
    <w:p w14:paraId="29A56625" w14:textId="77777777" w:rsidR="005F5861" w:rsidRDefault="00C64E5A" w:rsidP="00504AF2">
      <w:pPr>
        <w:pStyle w:val="Paragraphedeliste"/>
        <w:numPr>
          <w:ilvl w:val="0"/>
          <w:numId w:val="6"/>
        </w:numPr>
        <w:ind w:left="284" w:hanging="284"/>
        <w:jc w:val="both"/>
      </w:pPr>
      <w:r>
        <w:rPr>
          <w:b/>
          <w:i/>
        </w:rPr>
        <w:t>Reference date of collected data</w:t>
      </w:r>
      <w:r>
        <w:t>: the date when the fraudulent transaction was carried out should be reported rather than the date when the fraud was detected or declared or when the card or card details were stolen.</w:t>
      </w:r>
    </w:p>
    <w:p w14:paraId="494C71B5" w14:textId="77777777" w:rsidR="001363AC" w:rsidRDefault="001363AC" w:rsidP="001363AC">
      <w:pPr>
        <w:pStyle w:val="Paragraphedeliste"/>
      </w:pPr>
    </w:p>
    <w:p w14:paraId="14B3058C" w14:textId="7CDA9CA1" w:rsidR="005032EA" w:rsidRDefault="00CE26CD" w:rsidP="003A5B61">
      <w:pPr>
        <w:pStyle w:val="Paragraphedeliste"/>
        <w:numPr>
          <w:ilvl w:val="0"/>
          <w:numId w:val="6"/>
        </w:numPr>
        <w:ind w:left="284" w:hanging="284"/>
        <w:jc w:val="both"/>
      </w:pPr>
      <w:r>
        <w:rPr>
          <w:b/>
          <w:i/>
        </w:rPr>
        <w:t>Geographical breakdown of collected data</w:t>
      </w:r>
      <w:r>
        <w:t xml:space="preserve">: transaction and fraud data should be broken down into three distinct geographical regions: “France”, “Abroad within the EEA” (outside France) and “Abroad outside the EEA”. The breakdown is based on the country where the card issuer and the transaction acceptor (merchant or ATM), respectively, are located, </w:t>
      </w:r>
      <w:r>
        <w:rPr>
          <w:b/>
        </w:rPr>
        <w:t>without duplication</w:t>
      </w:r>
      <w:r>
        <w:t>, in order to avoid double counting of transactions or fraud. The scope of the “France” and “EEA” regions are defined in the appendix.</w:t>
      </w:r>
    </w:p>
    <w:p w14:paraId="32E888B4" w14:textId="77777777" w:rsidR="007D0E75" w:rsidRDefault="007D0E75" w:rsidP="007D0E75">
      <w:pPr>
        <w:pStyle w:val="Paragraphedeliste"/>
      </w:pPr>
    </w:p>
    <w:p w14:paraId="141DF8F3" w14:textId="77777777" w:rsidR="001752B5" w:rsidRDefault="001752B5">
      <w:pPr>
        <w:rPr>
          <w:b/>
          <w:i/>
        </w:rPr>
      </w:pPr>
      <w:r>
        <w:br w:type="page"/>
      </w:r>
    </w:p>
    <w:p w14:paraId="1DD127C0" w14:textId="0449891E" w:rsidR="00074E0B" w:rsidRDefault="007B315F" w:rsidP="00504AF2">
      <w:pPr>
        <w:pStyle w:val="Paragraphedeliste"/>
        <w:numPr>
          <w:ilvl w:val="0"/>
          <w:numId w:val="6"/>
        </w:numPr>
        <w:ind w:left="284" w:hanging="284"/>
        <w:jc w:val="both"/>
        <w:rPr>
          <w:b/>
          <w:i/>
        </w:rPr>
      </w:pPr>
      <w:r>
        <w:rPr>
          <w:b/>
          <w:i/>
        </w:rPr>
        <w:lastRenderedPageBreak/>
        <w:t>Fraud assessment:</w:t>
      </w:r>
    </w:p>
    <w:p w14:paraId="7BEEB9BA" w14:textId="77777777" w:rsidR="007B315F" w:rsidRPr="007B315F" w:rsidRDefault="007B315F" w:rsidP="007B315F">
      <w:pPr>
        <w:pStyle w:val="Paragraphedeliste"/>
        <w:rPr>
          <w:b/>
          <w:i/>
        </w:rPr>
      </w:pPr>
    </w:p>
    <w:p w14:paraId="105811A1" w14:textId="77777777" w:rsidR="007B315F" w:rsidRPr="00504AF2" w:rsidRDefault="007B315F" w:rsidP="007B315F">
      <w:pPr>
        <w:pStyle w:val="Paragraphedeliste"/>
        <w:numPr>
          <w:ilvl w:val="1"/>
          <w:numId w:val="6"/>
        </w:numPr>
        <w:jc w:val="both"/>
        <w:rPr>
          <w:b/>
          <w:i/>
        </w:rPr>
      </w:pPr>
      <w:r>
        <w:rPr>
          <w:b/>
          <w:i/>
        </w:rPr>
        <w:t>Defining fraud:</w:t>
      </w:r>
    </w:p>
    <w:tbl>
      <w:tblPr>
        <w:tblStyle w:val="Grilledutableau"/>
        <w:tblW w:w="0" w:type="auto"/>
        <w:tblInd w:w="851" w:type="dxa"/>
        <w:tblLook w:val="04A0" w:firstRow="1" w:lastRow="0" w:firstColumn="1" w:lastColumn="0" w:noHBand="0" w:noVBand="1"/>
      </w:tblPr>
      <w:tblGrid>
        <w:gridCol w:w="8354"/>
      </w:tblGrid>
      <w:tr w:rsidR="00074E0B" w14:paraId="2A706DFE" w14:textId="77777777" w:rsidTr="00074E0B">
        <w:tc>
          <w:tcPr>
            <w:tcW w:w="9212" w:type="dxa"/>
          </w:tcPr>
          <w:p w14:paraId="1DA9071C" w14:textId="77777777" w:rsidR="00074E0B" w:rsidRDefault="00655B73" w:rsidP="00074E0B">
            <w:pPr>
              <w:ind w:left="360"/>
              <w:jc w:val="both"/>
            </w:pPr>
            <w:r>
              <w:t>Fraud is defined as the illegitimate use of a payment card or its related data and any act that contributes to the preparation for their illegitimate use and/or effective illegitimate use:</w:t>
            </w:r>
          </w:p>
          <w:p w14:paraId="78828ACB" w14:textId="77777777" w:rsidR="00655B73" w:rsidRPr="00074E0B" w:rsidRDefault="00655B73" w:rsidP="00074E0B">
            <w:pPr>
              <w:ind w:left="360"/>
              <w:jc w:val="both"/>
            </w:pPr>
          </w:p>
          <w:p w14:paraId="431394D8" w14:textId="77777777" w:rsidR="00074E0B" w:rsidRDefault="00074E0B" w:rsidP="00074E0B">
            <w:pPr>
              <w:numPr>
                <w:ilvl w:val="0"/>
                <w:numId w:val="16"/>
              </w:numPr>
              <w:tabs>
                <w:tab w:val="num" w:pos="1080"/>
              </w:tabs>
              <w:ind w:left="1080"/>
              <w:jc w:val="both"/>
            </w:pPr>
            <w:r>
              <w:rPr>
                <w:b/>
              </w:rPr>
              <w:t>that cause financial harm:</w:t>
            </w:r>
            <w:r>
              <w:t xml:space="preserve"> to the account-holding institution, be it the bank of the cardholder or of the acceptor (e.g. merchant or general government agency, on its own account or within a payment scheme), the cardholder, acceptor, issuer, insurer, trusted third party or any party involved in the chain of design, manufacture, transport, or distribution of physical or logical data that could incur civil, commercial or criminal liability;</w:t>
            </w:r>
          </w:p>
          <w:p w14:paraId="6141E920" w14:textId="77777777" w:rsidR="00655B73" w:rsidRPr="00074E0B" w:rsidRDefault="00655B73" w:rsidP="00655B73">
            <w:pPr>
              <w:tabs>
                <w:tab w:val="num" w:pos="1080"/>
              </w:tabs>
              <w:ind w:left="1080"/>
              <w:jc w:val="both"/>
            </w:pPr>
          </w:p>
          <w:p w14:paraId="3899557B" w14:textId="77777777" w:rsidR="00074E0B" w:rsidRPr="00655B73" w:rsidRDefault="00074E0B" w:rsidP="00074E0B">
            <w:pPr>
              <w:numPr>
                <w:ilvl w:val="0"/>
                <w:numId w:val="16"/>
              </w:numPr>
              <w:ind w:left="1080"/>
              <w:jc w:val="both"/>
              <w:rPr>
                <w:b/>
              </w:rPr>
            </w:pPr>
            <w:r>
              <w:rPr>
                <w:b/>
              </w:rPr>
              <w:t>by whatever means:</w:t>
            </w:r>
          </w:p>
          <w:p w14:paraId="6D7115E4" w14:textId="77777777" w:rsidR="00074E0B" w:rsidRPr="00074E0B" w:rsidRDefault="00074E0B" w:rsidP="00C51D75">
            <w:pPr>
              <w:numPr>
                <w:ilvl w:val="1"/>
                <w:numId w:val="16"/>
              </w:numPr>
              <w:ind w:left="1701"/>
              <w:jc w:val="both"/>
            </w:pPr>
            <w:r>
              <w:t>the methods used to obtain, without lawful reason, cards or the data stored on them (theft, taking possession of cards or devices, physical or logical data and personalisation data and/or misappropriation of secret codes and/or security codes, hacking of magnetic stripes and chips, etc.),</w:t>
            </w:r>
          </w:p>
          <w:p w14:paraId="2661AD3D" w14:textId="77777777" w:rsidR="00074E0B" w:rsidRPr="00074E0B" w:rsidRDefault="00074E0B" w:rsidP="00C51D75">
            <w:pPr>
              <w:numPr>
                <w:ilvl w:val="1"/>
                <w:numId w:val="16"/>
              </w:numPr>
              <w:ind w:left="1701"/>
              <w:jc w:val="both"/>
            </w:pPr>
            <w:r>
              <w:t>the procedures for using cards or the data stored on them (face-to-face or remote payments or withdrawals, via physical use of the card or the card number, via UPTs, etc.),</w:t>
            </w:r>
          </w:p>
          <w:p w14:paraId="0C3FB5BC" w14:textId="77777777" w:rsidR="00074E0B" w:rsidRPr="00074E0B" w:rsidRDefault="00074E0B" w:rsidP="00C51D75">
            <w:pPr>
              <w:numPr>
                <w:ilvl w:val="1"/>
                <w:numId w:val="16"/>
              </w:numPr>
              <w:ind w:left="1701"/>
              <w:jc w:val="both"/>
            </w:pPr>
            <w:r>
              <w:t>the geographical region of the issue or use of the cards or the data stored on them,</w:t>
            </w:r>
          </w:p>
          <w:p w14:paraId="3C8FB46C" w14:textId="3429C386" w:rsidR="00655B73" w:rsidRPr="00074E0B" w:rsidRDefault="00074E0B" w:rsidP="002C5B28">
            <w:pPr>
              <w:numPr>
                <w:ilvl w:val="1"/>
                <w:numId w:val="16"/>
              </w:numPr>
              <w:ind w:left="1701"/>
              <w:jc w:val="both"/>
            </w:pPr>
            <w:r>
              <w:t>the type of payment card</w:t>
            </w:r>
            <w:r w:rsidR="00B1618D">
              <w:t xml:space="preserve"> </w:t>
            </w:r>
            <w:r>
              <w:t xml:space="preserve">; </w:t>
            </w:r>
          </w:p>
          <w:p w14:paraId="70095492" w14:textId="220A467E" w:rsidR="00074E0B" w:rsidRPr="00074E0B" w:rsidRDefault="00655B73" w:rsidP="00074E0B">
            <w:pPr>
              <w:numPr>
                <w:ilvl w:val="0"/>
                <w:numId w:val="16"/>
              </w:numPr>
              <w:ind w:left="1080"/>
              <w:jc w:val="both"/>
            </w:pPr>
            <w:r>
              <w:rPr>
                <w:b/>
              </w:rPr>
              <w:t>and irrespective of the identity of the fraudster:</w:t>
            </w:r>
            <w:r>
              <w:t xml:space="preserve"> a third party, the account-holding bank, the cardholder her/himself (for example, using the card after it has been declared lost or stolen, or wrongfully contesting transactions), the acceptor, the issuer, an insur</w:t>
            </w:r>
            <w:r w:rsidR="00B812BF">
              <w:t>er, a trusted third party, etc.</w:t>
            </w:r>
          </w:p>
          <w:p w14:paraId="30FE64DE" w14:textId="77777777" w:rsidR="00074E0B" w:rsidRDefault="00074E0B" w:rsidP="00074E0B">
            <w:pPr>
              <w:pStyle w:val="Paragraphedeliste"/>
              <w:ind w:left="0"/>
              <w:jc w:val="both"/>
            </w:pPr>
          </w:p>
        </w:tc>
      </w:tr>
    </w:tbl>
    <w:p w14:paraId="36387ED8" w14:textId="77777777" w:rsidR="00074E0B" w:rsidRDefault="00074E0B" w:rsidP="00074E0B">
      <w:pPr>
        <w:pStyle w:val="Paragraphedeliste"/>
        <w:ind w:left="851"/>
        <w:jc w:val="both"/>
      </w:pPr>
    </w:p>
    <w:p w14:paraId="3066E894" w14:textId="77777777" w:rsidR="00B07630" w:rsidRPr="007B315F" w:rsidRDefault="007B315F" w:rsidP="007B315F">
      <w:pPr>
        <w:pStyle w:val="Paragraphedeliste"/>
        <w:numPr>
          <w:ilvl w:val="1"/>
          <w:numId w:val="6"/>
        </w:numPr>
        <w:jc w:val="both"/>
      </w:pPr>
      <w:r>
        <w:rPr>
          <w:b/>
          <w:i/>
        </w:rPr>
        <w:t>A “gross fraud” approach:</w:t>
      </w:r>
      <w:r>
        <w:t xml:space="preserve"> fraud should be assessed using a gross fraud approach (in contrast to a “net fraud” approach), which involves taking into account (i) all authorised transactions, (ii) that are subsequently rejected as being fraudulent, and (iii) the initial transaction amounts without taking into account any measures subsequently taken by the counterparties to reduce the related loss. Attempted fraud or fraudulent activities prevented before a transaction can be concluded should not be declared. </w:t>
      </w:r>
    </w:p>
    <w:p w14:paraId="2F666937" w14:textId="77777777" w:rsidR="00DE6F05" w:rsidRDefault="00DE6F05"/>
    <w:p w14:paraId="32B21164" w14:textId="77777777" w:rsidR="001752B5" w:rsidRDefault="001752B5">
      <w:pPr>
        <w:rPr>
          <w:rFonts w:ascii="Cambria,Bold" w:hAnsi="Cambria,Bold" w:cs="Cambria,Bold"/>
          <w:b/>
          <w:bCs/>
          <w:color w:val="548DD4" w:themeColor="text2" w:themeTint="99"/>
          <w:sz w:val="24"/>
          <w:szCs w:val="24"/>
        </w:rPr>
      </w:pPr>
      <w:r>
        <w:br w:type="page"/>
      </w:r>
    </w:p>
    <w:p w14:paraId="3C9F979C" w14:textId="2763975A" w:rsidR="007B315F" w:rsidRPr="00555C2C" w:rsidRDefault="007B315F" w:rsidP="007B315F">
      <w:pPr>
        <w:rPr>
          <w:rFonts w:ascii="Cambria,Bold" w:hAnsi="Cambria,Bold" w:cs="Cambria,Bold"/>
          <w:b/>
          <w:bCs/>
          <w:color w:val="548DD4" w:themeColor="text2" w:themeTint="99"/>
          <w:sz w:val="24"/>
          <w:szCs w:val="24"/>
        </w:rPr>
      </w:pPr>
      <w:r>
        <w:rPr>
          <w:rFonts w:ascii="Cambria,Bold" w:hAnsi="Cambria,Bold"/>
          <w:b/>
          <w:bCs/>
          <w:color w:val="548DD4" w:themeColor="text2" w:themeTint="99"/>
          <w:sz w:val="24"/>
          <w:szCs w:val="24"/>
        </w:rPr>
        <w:lastRenderedPageBreak/>
        <w:t>3. Timetable and submission of collected data</w:t>
      </w:r>
    </w:p>
    <w:p w14:paraId="5188106A" w14:textId="70D65693" w:rsidR="007D0E75" w:rsidRDefault="007B315F" w:rsidP="007D0E75">
      <w:pPr>
        <w:pStyle w:val="Paragraphedeliste"/>
        <w:numPr>
          <w:ilvl w:val="0"/>
          <w:numId w:val="6"/>
        </w:numPr>
        <w:ind w:left="284" w:hanging="284"/>
        <w:jc w:val="both"/>
      </w:pPr>
      <w:r>
        <w:rPr>
          <w:b/>
          <w:i/>
        </w:rPr>
        <w:t>Timetable</w:t>
      </w:r>
      <w:r>
        <w:rPr>
          <w:i/>
        </w:rPr>
        <w:t xml:space="preserve">: </w:t>
      </w:r>
      <w:r>
        <w:t xml:space="preserve">Data are collected on a half-yearly basis during the following periods: </w:t>
      </w:r>
    </w:p>
    <w:p w14:paraId="6BEA9D0E" w14:textId="77777777" w:rsidR="007D0E75" w:rsidRDefault="007D0E75" w:rsidP="007D0E75">
      <w:pPr>
        <w:pStyle w:val="Paragraphedeliste"/>
        <w:numPr>
          <w:ilvl w:val="0"/>
          <w:numId w:val="20"/>
        </w:numPr>
        <w:jc w:val="both"/>
      </w:pPr>
      <w:r>
        <w:t>for the first half of the year (January to June), from the first working day in August to the last working day in October;</w:t>
      </w:r>
    </w:p>
    <w:p w14:paraId="2298072B" w14:textId="77777777" w:rsidR="007D0E75" w:rsidRDefault="007D0E75" w:rsidP="007D0E75">
      <w:pPr>
        <w:pStyle w:val="Paragraphedeliste"/>
        <w:numPr>
          <w:ilvl w:val="0"/>
          <w:numId w:val="20"/>
        </w:numPr>
        <w:jc w:val="both"/>
      </w:pPr>
      <w:r>
        <w:t>for the second half of the year (July to December), from the first working day in February to the last working day in April of the following year.</w:t>
      </w:r>
    </w:p>
    <w:p w14:paraId="3D57B172" w14:textId="77777777" w:rsidR="007D0E75" w:rsidRPr="007D0E75" w:rsidRDefault="007D0E75" w:rsidP="007D0E75">
      <w:pPr>
        <w:pStyle w:val="Paragraphedeliste"/>
        <w:ind w:left="644"/>
        <w:jc w:val="both"/>
      </w:pPr>
    </w:p>
    <w:p w14:paraId="683F3E6D" w14:textId="2A78D2FC" w:rsidR="00E34DB1" w:rsidRDefault="007D0E75" w:rsidP="007D0E75">
      <w:pPr>
        <w:pStyle w:val="Paragraphedeliste"/>
        <w:ind w:left="284"/>
        <w:jc w:val="both"/>
      </w:pPr>
      <w:r>
        <w:t xml:space="preserve">Declarants are informed directly when the collection periods are open by the secretariat of the </w:t>
      </w:r>
      <w:r w:rsidR="007067C4">
        <w:t>Observatory for the Security of Payment Means (</w:t>
      </w:r>
      <w:r>
        <w:t>OSMP</w:t>
      </w:r>
      <w:r w:rsidR="007067C4">
        <w:t xml:space="preserve"> for </w:t>
      </w:r>
      <w:r w:rsidR="007067C4" w:rsidRPr="007067C4">
        <w:rPr>
          <w:i/>
        </w:rPr>
        <w:t>Observatoire de la Sécurité des moyens de Paiements</w:t>
      </w:r>
      <w:r w:rsidR="007067C4">
        <w:t>)</w:t>
      </w:r>
      <w:r>
        <w:t>.</w:t>
      </w:r>
    </w:p>
    <w:p w14:paraId="5D4AB789" w14:textId="77777777" w:rsidR="00CD7FF3" w:rsidRDefault="00CD7FF3" w:rsidP="007D0E75">
      <w:pPr>
        <w:pStyle w:val="Paragraphedeliste"/>
        <w:ind w:left="284"/>
        <w:jc w:val="both"/>
      </w:pPr>
    </w:p>
    <w:p w14:paraId="166FD7BE" w14:textId="18852863" w:rsidR="00046825" w:rsidRDefault="00CD7FF3" w:rsidP="00CD7FF3">
      <w:pPr>
        <w:pStyle w:val="Paragraphedeliste"/>
        <w:numPr>
          <w:ilvl w:val="0"/>
          <w:numId w:val="6"/>
        </w:numPr>
        <w:ind w:left="284" w:hanging="284"/>
        <w:jc w:val="both"/>
      </w:pPr>
      <w:r>
        <w:rPr>
          <w:b/>
          <w:i/>
        </w:rPr>
        <w:t>Declaration procedures</w:t>
      </w:r>
      <w:r>
        <w:t>: declarations are submitted via the OneGate-Oscamps portal operated by the Banque de France. Terms of access for the portal are set out in the ONEGATE external user manual.</w:t>
      </w:r>
    </w:p>
    <w:p w14:paraId="5BB446C0" w14:textId="6A3788C5" w:rsidR="00C343AE" w:rsidRDefault="004D53B3" w:rsidP="00CD7FF3">
      <w:pPr>
        <w:ind w:left="284"/>
        <w:jc w:val="both"/>
      </w:pPr>
      <w:r w:rsidRPr="0045617B">
        <w:t>An interface</w:t>
      </w:r>
      <w:r w:rsidR="0045617B" w:rsidRPr="0045617B">
        <w:t xml:space="preserve"> agreement</w:t>
      </w:r>
      <w:r w:rsidRPr="0045617B">
        <w:t xml:space="preserve"> is</w:t>
      </w:r>
      <w:r>
        <w:t xml:space="preserve"> provided with this guide. </w:t>
      </w:r>
    </w:p>
    <w:p w14:paraId="2E4437D6" w14:textId="7D684CE9" w:rsidR="00914BC9" w:rsidRPr="00C55AB3" w:rsidRDefault="009D0C4A" w:rsidP="00914BC9">
      <w:pPr>
        <w:ind w:left="284"/>
        <w:jc w:val="both"/>
        <w:rPr>
          <w:rStyle w:val="Lienhypertexte"/>
        </w:rPr>
      </w:pPr>
      <w:r w:rsidRPr="00E01BC1">
        <w:t xml:space="preserve">All the </w:t>
      </w:r>
      <w:r w:rsidRPr="00C55AB3">
        <w:t xml:space="preserve">technical documents are available on the Banque de France website: </w:t>
      </w:r>
      <w:hyperlink r:id="rId10" w:history="1">
        <w:r w:rsidR="00C55AB3" w:rsidRPr="00E01BC1">
          <w:rPr>
            <w:rStyle w:val="Lienhypertexte"/>
          </w:rPr>
          <w:t>https://www.banque-france.fr/stabilite-financiere/securite-des-moyens-de-paiement-scripturaux/collectes-statistiques-reglementaires-espace-declarants/collecte-pour-le-compte-de-lobservatoire-de-la-securite-des-moyens-de-paiement</w:t>
        </w:r>
      </w:hyperlink>
    </w:p>
    <w:p w14:paraId="73CC07B5" w14:textId="7F55FCC5" w:rsidR="00E466CD" w:rsidRPr="00007347" w:rsidRDefault="00E466CD" w:rsidP="00CD7FF3">
      <w:pPr>
        <w:ind w:left="284"/>
        <w:jc w:val="both"/>
      </w:pPr>
      <w:r w:rsidRPr="00100247">
        <w:t xml:space="preserve">An excel version of the questionnaire </w:t>
      </w:r>
      <w:r w:rsidRPr="00007347">
        <w:t>is also available via this document:</w:t>
      </w:r>
    </w:p>
    <w:bookmarkStart w:id="0" w:name="_MON_1669726908"/>
    <w:bookmarkEnd w:id="0"/>
    <w:p w14:paraId="20CF051C" w14:textId="4405F835" w:rsidR="00E466CD" w:rsidRDefault="00005B39" w:rsidP="005C2877">
      <w:pPr>
        <w:ind w:left="284"/>
        <w:jc w:val="center"/>
      </w:pPr>
      <w:r w:rsidRPr="00324D33">
        <w:object w:dxaOrig="1175" w:dyaOrig="760" w14:anchorId="3C213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5pt;height:37.9pt" o:ole="">
            <v:imagedata r:id="rId11" o:title=""/>
          </v:shape>
          <o:OLEObject Type="Embed" ProgID="Excel.Sheet.12" ShapeID="_x0000_i1025" DrawAspect="Icon" ObjectID="_1766837188" r:id="rId12"/>
        </w:object>
      </w:r>
    </w:p>
    <w:p w14:paraId="18E870E2" w14:textId="77777777" w:rsidR="00E466CD" w:rsidRDefault="00E466CD" w:rsidP="00CD7FF3">
      <w:pPr>
        <w:ind w:left="284"/>
        <w:jc w:val="both"/>
      </w:pPr>
    </w:p>
    <w:p w14:paraId="46137F13" w14:textId="4D84FD0E" w:rsidR="00FE02D3" w:rsidRDefault="00FE02D3" w:rsidP="00CD7FF3">
      <w:pPr>
        <w:ind w:left="284"/>
        <w:jc w:val="both"/>
        <w:rPr>
          <w:b/>
        </w:rPr>
      </w:pPr>
      <w:r>
        <w:rPr>
          <w:b/>
        </w:rPr>
        <w:t>For further information, please contact the Banque de France division tasked with providing the secretariat of the OSMP using the contact details below:</w:t>
      </w:r>
    </w:p>
    <w:p w14:paraId="01ECD509" w14:textId="77777777" w:rsidR="00E466CD" w:rsidRDefault="00E466CD" w:rsidP="00CD7FF3">
      <w:pPr>
        <w:ind w:left="284"/>
        <w:jc w:val="both"/>
        <w:rPr>
          <w:b/>
        </w:rPr>
      </w:pPr>
    </w:p>
    <w:tbl>
      <w:tblPr>
        <w:tblStyle w:val="Grilledutableau"/>
        <w:tblW w:w="0" w:type="auto"/>
        <w:tblInd w:w="284" w:type="dxa"/>
        <w:tblLook w:val="04A0" w:firstRow="1" w:lastRow="0" w:firstColumn="1" w:lastColumn="0" w:noHBand="0" w:noVBand="1"/>
      </w:tblPr>
      <w:tblGrid>
        <w:gridCol w:w="8921"/>
      </w:tblGrid>
      <w:tr w:rsidR="00F0345E" w14:paraId="63889A3A" w14:textId="77777777" w:rsidTr="00F0345E">
        <w:tc>
          <w:tcPr>
            <w:tcW w:w="9212" w:type="dxa"/>
          </w:tcPr>
          <w:p w14:paraId="74FEC4A8" w14:textId="69721BCC" w:rsidR="00F0345E" w:rsidRPr="00E01BC1" w:rsidRDefault="0005443E" w:rsidP="00F0345E">
            <w:pPr>
              <w:ind w:left="284"/>
              <w:jc w:val="center"/>
            </w:pPr>
            <w:r>
              <w:t xml:space="preserve"> </w:t>
            </w:r>
            <w:r w:rsidR="00F0345E" w:rsidRPr="00007347">
              <w:t xml:space="preserve">DIRECTORATE GENERAL </w:t>
            </w:r>
            <w:r w:rsidR="00C55AB3">
              <w:t xml:space="preserve">OF </w:t>
            </w:r>
            <w:r w:rsidRPr="00E01BC1">
              <w:t>MEANS OF PAYMENT</w:t>
            </w:r>
          </w:p>
          <w:p w14:paraId="3E9EBD7C" w14:textId="2E8C4C5C" w:rsidR="00C55AB3" w:rsidRDefault="00C55AB3" w:rsidP="00F0345E">
            <w:pPr>
              <w:ind w:left="284"/>
              <w:jc w:val="center"/>
            </w:pPr>
            <w:r>
              <w:t>Directorate of the Study and Oversight of Payments</w:t>
            </w:r>
          </w:p>
          <w:p w14:paraId="59CC29E5" w14:textId="5D7F96C5" w:rsidR="00F0345E" w:rsidRDefault="00F0345E" w:rsidP="00F0345E">
            <w:pPr>
              <w:ind w:left="284"/>
              <w:jc w:val="center"/>
            </w:pPr>
            <w:r>
              <w:t>Cashless Means of Payment</w:t>
            </w:r>
            <w:r w:rsidR="0045617B">
              <w:t xml:space="preserve"> Division</w:t>
            </w:r>
          </w:p>
          <w:p w14:paraId="08702457" w14:textId="02C7E80D" w:rsidR="00F0345E" w:rsidRDefault="00914BC9" w:rsidP="00F0345E">
            <w:pPr>
              <w:ind w:left="284"/>
              <w:jc w:val="center"/>
            </w:pPr>
            <w:r>
              <w:t>S2B</w:t>
            </w:r>
            <w:r w:rsidR="00F0345E">
              <w:t>-2323</w:t>
            </w:r>
          </w:p>
          <w:p w14:paraId="512ED188" w14:textId="77777777" w:rsidR="00F0345E" w:rsidRDefault="00F0345E" w:rsidP="00F0345E">
            <w:pPr>
              <w:ind w:left="284"/>
              <w:jc w:val="center"/>
            </w:pPr>
            <w:r>
              <w:t>75049 PARIS CEDEX 01</w:t>
            </w:r>
          </w:p>
          <w:p w14:paraId="0C292387" w14:textId="77777777" w:rsidR="00F0345E" w:rsidRDefault="00E0392E" w:rsidP="00F0345E">
            <w:pPr>
              <w:ind w:left="284"/>
              <w:jc w:val="center"/>
            </w:pPr>
            <w:hyperlink r:id="rId13" w:history="1">
              <w:r w:rsidR="00EA171A">
                <w:rPr>
                  <w:rStyle w:val="Lienhypertexte"/>
                </w:rPr>
                <w:t>2323-OSMP-UT@banque-france.fr</w:t>
              </w:r>
            </w:hyperlink>
          </w:p>
          <w:p w14:paraId="2144B2B5" w14:textId="77777777" w:rsidR="00F0345E" w:rsidRDefault="00F0345E" w:rsidP="00CD7FF3">
            <w:pPr>
              <w:jc w:val="both"/>
              <w:rPr>
                <w:b/>
              </w:rPr>
            </w:pPr>
          </w:p>
        </w:tc>
      </w:tr>
    </w:tbl>
    <w:p w14:paraId="0A91800F" w14:textId="38B3920D" w:rsidR="00F0345E" w:rsidRDefault="00F0345E" w:rsidP="00CD7FF3">
      <w:pPr>
        <w:ind w:left="284"/>
        <w:jc w:val="both"/>
        <w:rPr>
          <w:b/>
        </w:rPr>
      </w:pPr>
    </w:p>
    <w:p w14:paraId="25A0652D" w14:textId="77777777" w:rsidR="001752B5" w:rsidRDefault="001752B5">
      <w:pPr>
        <w:rPr>
          <w:rFonts w:ascii="Cambria,Bold" w:hAnsi="Cambria,Bold" w:cs="Cambria,Bold"/>
          <w:b/>
          <w:bCs/>
          <w:color w:val="548DD4" w:themeColor="text2" w:themeTint="99"/>
          <w:sz w:val="24"/>
          <w:szCs w:val="24"/>
        </w:rPr>
      </w:pPr>
      <w:r>
        <w:br w:type="page"/>
      </w:r>
    </w:p>
    <w:p w14:paraId="0AEA82E3" w14:textId="08865CBD" w:rsidR="00633383" w:rsidRDefault="007B315F" w:rsidP="00633383">
      <w:pPr>
        <w:rPr>
          <w:rFonts w:ascii="Cambria,Bold" w:hAnsi="Cambria,Bold" w:cs="Cambria,Bold"/>
          <w:b/>
          <w:bCs/>
          <w:color w:val="548DD4" w:themeColor="text2" w:themeTint="99"/>
          <w:sz w:val="24"/>
          <w:szCs w:val="24"/>
        </w:rPr>
      </w:pPr>
      <w:r>
        <w:rPr>
          <w:rFonts w:ascii="Cambria,Bold" w:hAnsi="Cambria,Bold"/>
          <w:b/>
          <w:bCs/>
          <w:color w:val="548DD4" w:themeColor="text2" w:themeTint="99"/>
          <w:sz w:val="24"/>
          <w:szCs w:val="24"/>
        </w:rPr>
        <w:lastRenderedPageBreak/>
        <w:t>4. Questionnaire structure and content</w:t>
      </w:r>
    </w:p>
    <w:p w14:paraId="61AC0439" w14:textId="77777777" w:rsidR="007B315F" w:rsidRDefault="007B315F" w:rsidP="00FE4CC1">
      <w:pPr>
        <w:jc w:val="both"/>
      </w:pPr>
      <w:r>
        <w:t>The questionnaire is structured as follows:</w:t>
      </w:r>
    </w:p>
    <w:p w14:paraId="1F2ADCAB" w14:textId="77777777" w:rsidR="007B315F" w:rsidRDefault="00704DF8" w:rsidP="00FE4CC1">
      <w:pPr>
        <w:pStyle w:val="Paragraphedeliste"/>
        <w:numPr>
          <w:ilvl w:val="0"/>
          <w:numId w:val="19"/>
        </w:numPr>
        <w:jc w:val="both"/>
      </w:pPr>
      <w:r>
        <w:t>Section 1.1 – Number of cards: data on the amount of cards in circulation and cards declared stolen or lost.</w:t>
      </w:r>
    </w:p>
    <w:p w14:paraId="4A605D6B" w14:textId="77777777" w:rsidR="00704DF8" w:rsidRDefault="00704DF8" w:rsidP="00FE4CC1">
      <w:pPr>
        <w:pStyle w:val="Paragraphedeliste"/>
        <w:numPr>
          <w:ilvl w:val="0"/>
          <w:numId w:val="19"/>
        </w:numPr>
        <w:jc w:val="both"/>
      </w:pPr>
      <w:r>
        <w:t>Section 1.2 – Volume and value of transactions: the number and value of transactions broken down by transaction type, authentication method, and geographical region of the card issuer and transaction acceptor.</w:t>
      </w:r>
    </w:p>
    <w:p w14:paraId="6DECAEC8" w14:textId="77777777" w:rsidR="00704DF8" w:rsidRDefault="00704DF8" w:rsidP="00FE4CC1">
      <w:pPr>
        <w:pStyle w:val="Paragraphedeliste"/>
        <w:numPr>
          <w:ilvl w:val="0"/>
          <w:numId w:val="19"/>
        </w:numPr>
        <w:jc w:val="both"/>
      </w:pPr>
      <w:r>
        <w:t>Sections 2.a to 2.e – Breakdown of fraud: source of fraud: for each geographical region of the card issuer and transaction acceptor, the number and value of fraudulent transactions broken down by transaction type, authentication method, card function and type of fraud.</w:t>
      </w:r>
    </w:p>
    <w:p w14:paraId="2BFA117D" w14:textId="77777777" w:rsidR="00704DF8" w:rsidRDefault="00704DF8" w:rsidP="00FE4CC1">
      <w:pPr>
        <w:pStyle w:val="Paragraphedeliste"/>
        <w:numPr>
          <w:ilvl w:val="0"/>
          <w:numId w:val="19"/>
        </w:numPr>
        <w:jc w:val="both"/>
      </w:pPr>
      <w:r>
        <w:t>Section 3.1 – Breakdown of domestic transaction fraud on remote sales by sector of activity: domestic fraud on remote payments broken down by the merchant’s sector of activity.</w:t>
      </w:r>
    </w:p>
    <w:p w14:paraId="337DB25E" w14:textId="77777777" w:rsidR="00711167" w:rsidRPr="00704DF8" w:rsidRDefault="00711167" w:rsidP="00711167">
      <w:pPr>
        <w:pStyle w:val="Paragraphedeliste"/>
      </w:pPr>
    </w:p>
    <w:p w14:paraId="76F19BF0" w14:textId="59D82358" w:rsidR="00B6564A" w:rsidRDefault="002A4C86" w:rsidP="00B6564A">
      <w:r>
        <w:rPr>
          <w:b/>
          <w:bCs/>
          <w:color w:val="548DD4" w:themeColor="text2" w:themeTint="99"/>
          <w:sz w:val="24"/>
          <w:szCs w:val="24"/>
          <w:u w:val="single"/>
        </w:rPr>
        <w:t>Section 1.1 – Number of cards</w:t>
      </w:r>
    </w:p>
    <w:tbl>
      <w:tblPr>
        <w:tblW w:w="9215" w:type="dxa"/>
        <w:tblCellMar>
          <w:left w:w="70" w:type="dxa"/>
          <w:right w:w="70" w:type="dxa"/>
        </w:tblCellMar>
        <w:tblLook w:val="04A0" w:firstRow="1" w:lastRow="0" w:firstColumn="1" w:lastColumn="0" w:noHBand="0" w:noVBand="1"/>
      </w:tblPr>
      <w:tblGrid>
        <w:gridCol w:w="6143"/>
        <w:gridCol w:w="1535"/>
        <w:gridCol w:w="1537"/>
      </w:tblGrid>
      <w:tr w:rsidR="006E51E1" w:rsidRPr="006E51E1" w14:paraId="18C2A535" w14:textId="77777777" w:rsidTr="006E51E1">
        <w:trPr>
          <w:trHeight w:val="420"/>
        </w:trPr>
        <w:tc>
          <w:tcPr>
            <w:tcW w:w="5000" w:type="pct"/>
            <w:gridSpan w:val="3"/>
            <w:tcBorders>
              <w:top w:val="nil"/>
              <w:left w:val="nil"/>
              <w:bottom w:val="nil"/>
              <w:right w:val="nil"/>
            </w:tcBorders>
            <w:shd w:val="clear" w:color="auto" w:fill="auto"/>
            <w:vAlign w:val="center"/>
            <w:hideMark/>
          </w:tcPr>
          <w:p w14:paraId="1EF0D907" w14:textId="77777777" w:rsidR="006E51E1" w:rsidRPr="006E51E1" w:rsidRDefault="006E51E1" w:rsidP="006E51E1">
            <w:pPr>
              <w:spacing w:after="0" w:line="240" w:lineRule="auto"/>
              <w:rPr>
                <w:rFonts w:ascii="Arial" w:eastAsia="Times New Roman" w:hAnsi="Arial" w:cs="Arial"/>
                <w:b/>
                <w:bCs/>
                <w:sz w:val="20"/>
                <w:szCs w:val="20"/>
              </w:rPr>
            </w:pPr>
            <w:r>
              <w:rPr>
                <w:rFonts w:ascii="Arial" w:hAnsi="Arial"/>
                <w:b/>
                <w:bCs/>
                <w:sz w:val="20"/>
                <w:szCs w:val="20"/>
              </w:rPr>
              <w:t>1.1 – Number of cards</w:t>
            </w:r>
          </w:p>
        </w:tc>
      </w:tr>
      <w:tr w:rsidR="006E51E1" w:rsidRPr="006E51E1" w14:paraId="53FD925A" w14:textId="77777777" w:rsidTr="006E51E1">
        <w:trPr>
          <w:trHeight w:val="600"/>
        </w:trPr>
        <w:tc>
          <w:tcPr>
            <w:tcW w:w="3333" w:type="pct"/>
            <w:tcBorders>
              <w:top w:val="single" w:sz="8" w:space="0" w:color="auto"/>
              <w:left w:val="single" w:sz="8" w:space="0" w:color="FFFFFF"/>
              <w:bottom w:val="dashed" w:sz="4" w:space="0" w:color="auto"/>
              <w:right w:val="single" w:sz="8" w:space="0" w:color="FFFFFF"/>
            </w:tcBorders>
            <w:shd w:val="clear" w:color="auto" w:fill="auto"/>
            <w:vAlign w:val="center"/>
            <w:hideMark/>
          </w:tcPr>
          <w:p w14:paraId="7E48968D" w14:textId="77777777" w:rsidR="006E51E1" w:rsidRPr="006E51E1" w:rsidRDefault="006E51E1" w:rsidP="006E51E1">
            <w:pPr>
              <w:spacing w:after="0" w:line="240" w:lineRule="auto"/>
              <w:ind w:firstLineChars="100" w:firstLine="200"/>
              <w:rPr>
                <w:rFonts w:ascii="Arial" w:eastAsia="Times New Roman" w:hAnsi="Arial" w:cs="Arial"/>
                <w:sz w:val="20"/>
                <w:szCs w:val="20"/>
              </w:rPr>
            </w:pPr>
            <w:r>
              <w:rPr>
                <w:rFonts w:ascii="Arial" w:hAnsi="Arial"/>
                <w:sz w:val="20"/>
                <w:szCs w:val="20"/>
              </w:rPr>
              <w:t>Number of cards issued in France and valid as at the end of the half year under review</w:t>
            </w:r>
          </w:p>
        </w:tc>
        <w:tc>
          <w:tcPr>
            <w:tcW w:w="833" w:type="pct"/>
            <w:tcBorders>
              <w:top w:val="single" w:sz="8" w:space="0" w:color="auto"/>
              <w:left w:val="nil"/>
              <w:bottom w:val="dashed" w:sz="4" w:space="0" w:color="auto"/>
              <w:right w:val="single" w:sz="8" w:space="0" w:color="FFFFFF"/>
            </w:tcBorders>
            <w:shd w:val="clear" w:color="C0C0C0" w:fill="F2F2F2"/>
            <w:vAlign w:val="center"/>
            <w:hideMark/>
          </w:tcPr>
          <w:p w14:paraId="41C4972F" w14:textId="77777777" w:rsidR="006E51E1" w:rsidRPr="006E51E1" w:rsidRDefault="006E51E1" w:rsidP="006E51E1">
            <w:pPr>
              <w:spacing w:after="0" w:line="240" w:lineRule="auto"/>
              <w:rPr>
                <w:rFonts w:ascii="Arial" w:eastAsia="Times New Roman" w:hAnsi="Arial" w:cs="Arial"/>
                <w:sz w:val="18"/>
                <w:szCs w:val="18"/>
              </w:rPr>
            </w:pPr>
            <w:r>
              <w:rPr>
                <w:rFonts w:ascii="Arial" w:hAnsi="Arial"/>
                <w:sz w:val="18"/>
                <w:szCs w:val="18"/>
              </w:rPr>
              <w:t> </w:t>
            </w:r>
          </w:p>
        </w:tc>
        <w:tc>
          <w:tcPr>
            <w:tcW w:w="834" w:type="pct"/>
            <w:tcBorders>
              <w:top w:val="single" w:sz="8" w:space="0" w:color="auto"/>
              <w:left w:val="nil"/>
              <w:bottom w:val="dashed" w:sz="4" w:space="0" w:color="auto"/>
              <w:right w:val="single" w:sz="8" w:space="0" w:color="FFFFFF"/>
            </w:tcBorders>
            <w:shd w:val="clear" w:color="auto" w:fill="auto"/>
            <w:vAlign w:val="center"/>
            <w:hideMark/>
          </w:tcPr>
          <w:p w14:paraId="2DE8B892" w14:textId="77777777" w:rsidR="006E51E1" w:rsidRPr="006E51E1" w:rsidRDefault="006E51E1" w:rsidP="006E51E1">
            <w:pPr>
              <w:spacing w:after="0" w:line="240" w:lineRule="auto"/>
              <w:ind w:firstLineChars="100" w:firstLine="200"/>
              <w:rPr>
                <w:rFonts w:ascii="Arial" w:eastAsia="Times New Roman" w:hAnsi="Arial" w:cs="Arial"/>
                <w:sz w:val="20"/>
                <w:szCs w:val="20"/>
              </w:rPr>
            </w:pPr>
            <w:r>
              <w:rPr>
                <w:rFonts w:ascii="Arial" w:hAnsi="Arial"/>
                <w:sz w:val="20"/>
                <w:szCs w:val="20"/>
              </w:rPr>
              <w:t>cards</w:t>
            </w:r>
          </w:p>
        </w:tc>
      </w:tr>
      <w:tr w:rsidR="006E51E1" w:rsidRPr="006E51E1" w14:paraId="6EABDBE1" w14:textId="77777777" w:rsidTr="006E51E1">
        <w:trPr>
          <w:trHeight w:val="600"/>
        </w:trPr>
        <w:tc>
          <w:tcPr>
            <w:tcW w:w="3333" w:type="pct"/>
            <w:tcBorders>
              <w:top w:val="dashed" w:sz="4" w:space="0" w:color="auto"/>
              <w:left w:val="single" w:sz="8" w:space="0" w:color="FFFFFF"/>
              <w:bottom w:val="dashed" w:sz="4" w:space="0" w:color="auto"/>
              <w:right w:val="single" w:sz="8" w:space="0" w:color="FFFFFF"/>
            </w:tcBorders>
            <w:shd w:val="clear" w:color="auto" w:fill="auto"/>
            <w:vAlign w:val="center"/>
            <w:hideMark/>
          </w:tcPr>
          <w:p w14:paraId="41E47451" w14:textId="77777777" w:rsidR="006E51E1" w:rsidRPr="006E51E1" w:rsidRDefault="006E51E1" w:rsidP="006E51E1">
            <w:pPr>
              <w:spacing w:after="0" w:line="240" w:lineRule="auto"/>
              <w:ind w:firstLineChars="100" w:firstLine="200"/>
              <w:jc w:val="right"/>
              <w:rPr>
                <w:rFonts w:ascii="Arial" w:eastAsia="Times New Roman" w:hAnsi="Arial" w:cs="Arial"/>
                <w:i/>
                <w:iCs/>
                <w:sz w:val="20"/>
                <w:szCs w:val="20"/>
              </w:rPr>
            </w:pPr>
            <w:r>
              <w:rPr>
                <w:rFonts w:ascii="Arial" w:hAnsi="Arial"/>
                <w:i/>
                <w:iCs/>
                <w:sz w:val="20"/>
                <w:szCs w:val="20"/>
              </w:rPr>
              <w:t>o/w dual interface chip cards (allowing contactless and non-contactless payments)</w:t>
            </w:r>
          </w:p>
        </w:tc>
        <w:tc>
          <w:tcPr>
            <w:tcW w:w="833" w:type="pct"/>
            <w:tcBorders>
              <w:top w:val="nil"/>
              <w:left w:val="nil"/>
              <w:bottom w:val="dashed" w:sz="4" w:space="0" w:color="auto"/>
              <w:right w:val="single" w:sz="8" w:space="0" w:color="FFFFFF"/>
            </w:tcBorders>
            <w:shd w:val="clear" w:color="C0C0C0" w:fill="F2F2F2"/>
            <w:vAlign w:val="center"/>
            <w:hideMark/>
          </w:tcPr>
          <w:p w14:paraId="744F174C" w14:textId="77777777" w:rsidR="006E51E1" w:rsidRPr="006E51E1" w:rsidRDefault="006E51E1" w:rsidP="006E51E1">
            <w:pPr>
              <w:spacing w:after="0" w:line="240" w:lineRule="auto"/>
              <w:rPr>
                <w:rFonts w:ascii="Arial" w:eastAsia="Times New Roman" w:hAnsi="Arial" w:cs="Arial"/>
                <w:sz w:val="18"/>
                <w:szCs w:val="18"/>
              </w:rPr>
            </w:pPr>
            <w:r>
              <w:rPr>
                <w:rFonts w:ascii="Arial" w:hAnsi="Arial"/>
                <w:sz w:val="18"/>
                <w:szCs w:val="18"/>
              </w:rPr>
              <w:t> </w:t>
            </w:r>
          </w:p>
        </w:tc>
        <w:tc>
          <w:tcPr>
            <w:tcW w:w="834" w:type="pct"/>
            <w:tcBorders>
              <w:top w:val="nil"/>
              <w:left w:val="nil"/>
              <w:bottom w:val="dashed" w:sz="4" w:space="0" w:color="auto"/>
              <w:right w:val="single" w:sz="8" w:space="0" w:color="FFFFFF"/>
            </w:tcBorders>
            <w:shd w:val="clear" w:color="auto" w:fill="auto"/>
            <w:vAlign w:val="center"/>
            <w:hideMark/>
          </w:tcPr>
          <w:p w14:paraId="193DB094" w14:textId="77777777" w:rsidR="006E51E1" w:rsidRPr="006E51E1" w:rsidRDefault="006E51E1" w:rsidP="006E51E1">
            <w:pPr>
              <w:spacing w:after="0" w:line="240" w:lineRule="auto"/>
              <w:ind w:firstLineChars="100" w:firstLine="200"/>
              <w:rPr>
                <w:rFonts w:ascii="Arial" w:eastAsia="Times New Roman" w:hAnsi="Arial" w:cs="Arial"/>
                <w:sz w:val="20"/>
                <w:szCs w:val="20"/>
              </w:rPr>
            </w:pPr>
            <w:r>
              <w:rPr>
                <w:rFonts w:ascii="Arial" w:hAnsi="Arial"/>
                <w:sz w:val="20"/>
                <w:szCs w:val="20"/>
              </w:rPr>
              <w:t>cards</w:t>
            </w:r>
          </w:p>
        </w:tc>
      </w:tr>
      <w:tr w:rsidR="006E51E1" w:rsidRPr="006E51E1" w14:paraId="5FC18AB6" w14:textId="77777777" w:rsidTr="006E51E1">
        <w:trPr>
          <w:trHeight w:val="600"/>
        </w:trPr>
        <w:tc>
          <w:tcPr>
            <w:tcW w:w="3333" w:type="pct"/>
            <w:tcBorders>
              <w:top w:val="dashed" w:sz="4" w:space="0" w:color="auto"/>
              <w:left w:val="single" w:sz="8" w:space="0" w:color="FFFFFF"/>
              <w:bottom w:val="dashed" w:sz="4" w:space="0" w:color="auto"/>
              <w:right w:val="single" w:sz="8" w:space="0" w:color="FFFFFF"/>
            </w:tcBorders>
            <w:shd w:val="clear" w:color="auto" w:fill="auto"/>
            <w:vAlign w:val="center"/>
            <w:hideMark/>
          </w:tcPr>
          <w:p w14:paraId="521F36D5" w14:textId="4A1DDE17" w:rsidR="006E51E1" w:rsidRPr="006E51E1" w:rsidRDefault="006E51E1" w:rsidP="00007347">
            <w:pPr>
              <w:spacing w:after="0" w:line="240" w:lineRule="auto"/>
              <w:ind w:firstLineChars="100" w:firstLine="200"/>
              <w:rPr>
                <w:rFonts w:ascii="Arial" w:eastAsia="Times New Roman" w:hAnsi="Arial" w:cs="Arial"/>
                <w:sz w:val="20"/>
                <w:szCs w:val="20"/>
              </w:rPr>
            </w:pPr>
            <w:r>
              <w:rPr>
                <w:rFonts w:ascii="Arial" w:hAnsi="Arial"/>
                <w:sz w:val="20"/>
                <w:szCs w:val="20"/>
              </w:rPr>
              <w:t>Number of devices (other than cards</w:t>
            </w:r>
            <w:r w:rsidR="00914BC9">
              <w:rPr>
                <w:rFonts w:ascii="Arial" w:hAnsi="Arial"/>
                <w:sz w:val="20"/>
                <w:szCs w:val="20"/>
              </w:rPr>
              <w:t xml:space="preserve"> like smartphones or connected devices</w:t>
            </w:r>
            <w:r w:rsidRPr="00C95E28">
              <w:rPr>
                <w:rFonts w:ascii="Arial" w:hAnsi="Arial"/>
                <w:sz w:val="20"/>
                <w:szCs w:val="20"/>
              </w:rPr>
              <w:t xml:space="preserve">) </w:t>
            </w:r>
            <w:r w:rsidR="00C95E28" w:rsidRPr="00C95E28">
              <w:rPr>
                <w:rFonts w:ascii="Arial" w:hAnsi="Arial"/>
                <w:sz w:val="20"/>
                <w:szCs w:val="20"/>
              </w:rPr>
              <w:t>enablin</w:t>
            </w:r>
            <w:r w:rsidRPr="00C95E28">
              <w:rPr>
                <w:rFonts w:ascii="Arial" w:hAnsi="Arial"/>
                <w:sz w:val="20"/>
                <w:szCs w:val="20"/>
              </w:rPr>
              <w:t>g</w:t>
            </w:r>
            <w:r>
              <w:rPr>
                <w:rFonts w:ascii="Arial" w:hAnsi="Arial"/>
                <w:sz w:val="20"/>
                <w:szCs w:val="20"/>
              </w:rPr>
              <w:t xml:space="preserve"> contactless payments and valid as at the end of the half year under review</w:t>
            </w:r>
            <w:r w:rsidR="00914BC9">
              <w:rPr>
                <w:rFonts w:ascii="Arial" w:hAnsi="Arial"/>
                <w:sz w:val="20"/>
                <w:szCs w:val="20"/>
              </w:rPr>
              <w:t xml:space="preserve">. The number of </w:t>
            </w:r>
            <w:r w:rsidR="00914BC9" w:rsidRPr="00914BC9">
              <w:rPr>
                <w:rFonts w:ascii="Arial" w:hAnsi="Arial"/>
                <w:sz w:val="20"/>
                <w:szCs w:val="20"/>
              </w:rPr>
              <w:t xml:space="preserve">tokens associated with such </w:t>
            </w:r>
            <w:r w:rsidR="00914BC9">
              <w:rPr>
                <w:rFonts w:ascii="Arial" w:hAnsi="Arial"/>
                <w:sz w:val="20"/>
                <w:szCs w:val="20"/>
              </w:rPr>
              <w:t>devices</w:t>
            </w:r>
            <w:r w:rsidR="00914BC9" w:rsidRPr="00914BC9">
              <w:rPr>
                <w:rFonts w:ascii="Arial" w:hAnsi="Arial"/>
                <w:sz w:val="20"/>
                <w:szCs w:val="20"/>
              </w:rPr>
              <w:t xml:space="preserve"> can </w:t>
            </w:r>
            <w:r w:rsidR="00914BC9">
              <w:rPr>
                <w:rFonts w:ascii="Arial" w:hAnsi="Arial"/>
                <w:sz w:val="20"/>
                <w:szCs w:val="20"/>
              </w:rPr>
              <w:t>be used</w:t>
            </w:r>
            <w:r w:rsidR="00914BC9" w:rsidRPr="00914BC9">
              <w:rPr>
                <w:rFonts w:ascii="Arial" w:hAnsi="Arial"/>
                <w:sz w:val="20"/>
                <w:szCs w:val="20"/>
              </w:rPr>
              <w:t xml:space="preserve"> for</w:t>
            </w:r>
            <w:r w:rsidR="00914BC9">
              <w:rPr>
                <w:rFonts w:ascii="Arial" w:hAnsi="Arial"/>
                <w:sz w:val="20"/>
                <w:szCs w:val="20"/>
              </w:rPr>
              <w:t xml:space="preserve"> making an</w:t>
            </w:r>
            <w:r w:rsidR="00914BC9" w:rsidRPr="00914BC9">
              <w:rPr>
                <w:rFonts w:ascii="Arial" w:hAnsi="Arial"/>
                <w:sz w:val="20"/>
                <w:szCs w:val="20"/>
              </w:rPr>
              <w:t xml:space="preserve"> estimation </w:t>
            </w:r>
            <w:r w:rsidR="00C55AB3">
              <w:rPr>
                <w:rFonts w:ascii="Arial" w:hAnsi="Arial"/>
                <w:sz w:val="20"/>
                <w:szCs w:val="20"/>
              </w:rPr>
              <w:t>of</w:t>
            </w:r>
            <w:r w:rsidR="00914BC9" w:rsidRPr="00914BC9">
              <w:rPr>
                <w:rFonts w:ascii="Arial" w:hAnsi="Arial"/>
                <w:sz w:val="20"/>
                <w:szCs w:val="20"/>
              </w:rPr>
              <w:t xml:space="preserve"> this indicator</w:t>
            </w:r>
            <w:r w:rsidR="00C55AB3">
              <w:rPr>
                <w:rFonts w:ascii="Arial" w:hAnsi="Arial"/>
                <w:sz w:val="20"/>
                <w:szCs w:val="20"/>
              </w:rPr>
              <w:t xml:space="preserve">. </w:t>
            </w:r>
          </w:p>
        </w:tc>
        <w:tc>
          <w:tcPr>
            <w:tcW w:w="833" w:type="pct"/>
            <w:tcBorders>
              <w:top w:val="nil"/>
              <w:left w:val="nil"/>
              <w:bottom w:val="dashed" w:sz="4" w:space="0" w:color="auto"/>
              <w:right w:val="single" w:sz="8" w:space="0" w:color="FFFFFF"/>
            </w:tcBorders>
            <w:shd w:val="clear" w:color="C0C0C0" w:fill="F2F2F2"/>
            <w:vAlign w:val="center"/>
            <w:hideMark/>
          </w:tcPr>
          <w:p w14:paraId="12875908" w14:textId="77777777" w:rsidR="006E51E1" w:rsidRPr="006E51E1" w:rsidRDefault="006E51E1" w:rsidP="006E51E1">
            <w:pPr>
              <w:spacing w:after="0" w:line="240" w:lineRule="auto"/>
              <w:rPr>
                <w:rFonts w:ascii="Arial" w:eastAsia="Times New Roman" w:hAnsi="Arial" w:cs="Arial"/>
                <w:sz w:val="18"/>
                <w:szCs w:val="18"/>
              </w:rPr>
            </w:pPr>
            <w:r>
              <w:rPr>
                <w:rFonts w:ascii="Arial" w:hAnsi="Arial"/>
                <w:sz w:val="18"/>
                <w:szCs w:val="18"/>
              </w:rPr>
              <w:t> </w:t>
            </w:r>
          </w:p>
        </w:tc>
        <w:tc>
          <w:tcPr>
            <w:tcW w:w="834" w:type="pct"/>
            <w:tcBorders>
              <w:top w:val="nil"/>
              <w:left w:val="nil"/>
              <w:bottom w:val="dashed" w:sz="4" w:space="0" w:color="auto"/>
              <w:right w:val="single" w:sz="8" w:space="0" w:color="FFFFFF"/>
            </w:tcBorders>
            <w:shd w:val="clear" w:color="auto" w:fill="auto"/>
            <w:vAlign w:val="center"/>
            <w:hideMark/>
          </w:tcPr>
          <w:p w14:paraId="6D6F3E9A" w14:textId="77777777" w:rsidR="006E51E1" w:rsidRPr="006E51E1" w:rsidRDefault="006E51E1" w:rsidP="006E51E1">
            <w:pPr>
              <w:spacing w:after="0" w:line="240" w:lineRule="auto"/>
              <w:ind w:firstLineChars="100" w:firstLine="200"/>
              <w:rPr>
                <w:rFonts w:ascii="Arial" w:eastAsia="Times New Roman" w:hAnsi="Arial" w:cs="Arial"/>
                <w:sz w:val="20"/>
                <w:szCs w:val="20"/>
              </w:rPr>
            </w:pPr>
            <w:r>
              <w:rPr>
                <w:rFonts w:ascii="Arial" w:hAnsi="Arial"/>
                <w:sz w:val="20"/>
                <w:szCs w:val="20"/>
              </w:rPr>
              <w:t>devices</w:t>
            </w:r>
          </w:p>
        </w:tc>
      </w:tr>
      <w:tr w:rsidR="006E51E1" w:rsidRPr="006E51E1" w14:paraId="480773FC" w14:textId="77777777" w:rsidTr="006E51E1">
        <w:trPr>
          <w:trHeight w:val="600"/>
        </w:trPr>
        <w:tc>
          <w:tcPr>
            <w:tcW w:w="3333" w:type="pct"/>
            <w:tcBorders>
              <w:top w:val="dashed" w:sz="4" w:space="0" w:color="auto"/>
              <w:left w:val="single" w:sz="8" w:space="0" w:color="FFFFFF"/>
              <w:bottom w:val="single" w:sz="8" w:space="0" w:color="auto"/>
              <w:right w:val="single" w:sz="8" w:space="0" w:color="FFFFFF"/>
            </w:tcBorders>
            <w:shd w:val="clear" w:color="auto" w:fill="auto"/>
            <w:vAlign w:val="center"/>
            <w:hideMark/>
          </w:tcPr>
          <w:p w14:paraId="1EF35032" w14:textId="77777777" w:rsidR="006E51E1" w:rsidRPr="006E51E1" w:rsidRDefault="006E51E1" w:rsidP="006E51E1">
            <w:pPr>
              <w:spacing w:after="0" w:line="240" w:lineRule="auto"/>
              <w:ind w:firstLineChars="100" w:firstLine="200"/>
              <w:rPr>
                <w:rFonts w:ascii="Arial" w:eastAsia="Times New Roman" w:hAnsi="Arial" w:cs="Arial"/>
                <w:sz w:val="20"/>
                <w:szCs w:val="20"/>
              </w:rPr>
            </w:pPr>
            <w:r>
              <w:rPr>
                <w:rFonts w:ascii="Arial" w:hAnsi="Arial"/>
                <w:sz w:val="20"/>
                <w:szCs w:val="20"/>
              </w:rPr>
              <w:t xml:space="preserve">Number of cards and other devices reported lost or stolen during the half year under review and used for at least one recorded fraudulent transaction </w:t>
            </w:r>
          </w:p>
        </w:tc>
        <w:tc>
          <w:tcPr>
            <w:tcW w:w="833" w:type="pct"/>
            <w:tcBorders>
              <w:top w:val="nil"/>
              <w:left w:val="nil"/>
              <w:bottom w:val="single" w:sz="8" w:space="0" w:color="auto"/>
              <w:right w:val="single" w:sz="8" w:space="0" w:color="FFFFFF"/>
            </w:tcBorders>
            <w:shd w:val="clear" w:color="C0C0C0" w:fill="F2F2F2"/>
            <w:vAlign w:val="center"/>
            <w:hideMark/>
          </w:tcPr>
          <w:p w14:paraId="77584D1A" w14:textId="77777777" w:rsidR="006E51E1" w:rsidRPr="006E51E1" w:rsidRDefault="006E51E1" w:rsidP="006E51E1">
            <w:pPr>
              <w:spacing w:after="0" w:line="240" w:lineRule="auto"/>
              <w:rPr>
                <w:rFonts w:ascii="Arial" w:eastAsia="Times New Roman" w:hAnsi="Arial" w:cs="Arial"/>
                <w:sz w:val="18"/>
                <w:szCs w:val="18"/>
              </w:rPr>
            </w:pPr>
            <w:r>
              <w:rPr>
                <w:rFonts w:ascii="Arial" w:hAnsi="Arial"/>
                <w:sz w:val="18"/>
                <w:szCs w:val="18"/>
              </w:rPr>
              <w:t> </w:t>
            </w:r>
          </w:p>
        </w:tc>
        <w:tc>
          <w:tcPr>
            <w:tcW w:w="834" w:type="pct"/>
            <w:tcBorders>
              <w:top w:val="nil"/>
              <w:left w:val="nil"/>
              <w:bottom w:val="single" w:sz="8" w:space="0" w:color="auto"/>
              <w:right w:val="single" w:sz="8" w:space="0" w:color="FFFFFF"/>
            </w:tcBorders>
            <w:shd w:val="clear" w:color="auto" w:fill="auto"/>
            <w:vAlign w:val="center"/>
            <w:hideMark/>
          </w:tcPr>
          <w:p w14:paraId="1192CE77" w14:textId="77777777" w:rsidR="006E51E1" w:rsidRPr="006E51E1" w:rsidRDefault="006E51E1" w:rsidP="006E51E1">
            <w:pPr>
              <w:spacing w:after="0" w:line="240" w:lineRule="auto"/>
              <w:ind w:firstLineChars="100" w:firstLine="200"/>
              <w:rPr>
                <w:rFonts w:ascii="Arial" w:eastAsia="Times New Roman" w:hAnsi="Arial" w:cs="Arial"/>
                <w:sz w:val="20"/>
                <w:szCs w:val="20"/>
              </w:rPr>
            </w:pPr>
            <w:r>
              <w:rPr>
                <w:rFonts w:ascii="Arial" w:hAnsi="Arial"/>
                <w:sz w:val="20"/>
                <w:szCs w:val="20"/>
              </w:rPr>
              <w:t>cards and devices</w:t>
            </w:r>
          </w:p>
        </w:tc>
      </w:tr>
    </w:tbl>
    <w:p w14:paraId="50C782CB" w14:textId="77777777" w:rsidR="006E51E1" w:rsidRDefault="006E51E1" w:rsidP="00B6564A"/>
    <w:p w14:paraId="2DF82AAB" w14:textId="3A1A626E" w:rsidR="00D36F30" w:rsidRPr="00C46B10" w:rsidRDefault="00D36F30" w:rsidP="00D36F30">
      <w:pPr>
        <w:pStyle w:val="Paragraphedeliste"/>
        <w:numPr>
          <w:ilvl w:val="0"/>
          <w:numId w:val="12"/>
        </w:numPr>
        <w:ind w:left="284" w:hanging="284"/>
        <w:jc w:val="both"/>
      </w:pPr>
      <w:r>
        <w:rPr>
          <w:b/>
          <w:bCs/>
          <w:color w:val="548DD4" w:themeColor="text2" w:themeTint="99"/>
        </w:rPr>
        <w:t>Cards:</w:t>
      </w:r>
      <w:r>
        <w:t xml:space="preserve"> payment cards. Cards that are not authorised to make payments and that can only be used to make withdrawals from the issuing institution’s ATMs are excluded</w:t>
      </w:r>
      <w:r w:rsidR="00914BC9">
        <w:t xml:space="preserve"> and e-money cards.</w:t>
      </w:r>
    </w:p>
    <w:p w14:paraId="2489ABED" w14:textId="77777777" w:rsidR="00C46B10" w:rsidRPr="00C46B10" w:rsidRDefault="00C46B10" w:rsidP="00C46B10">
      <w:pPr>
        <w:pStyle w:val="Paragraphedeliste"/>
        <w:ind w:left="284"/>
        <w:jc w:val="both"/>
      </w:pPr>
    </w:p>
    <w:p w14:paraId="509579B7" w14:textId="77777777" w:rsidR="00B6564A" w:rsidRDefault="00BA75F7" w:rsidP="00495B7F">
      <w:pPr>
        <w:pStyle w:val="Paragraphedeliste"/>
        <w:numPr>
          <w:ilvl w:val="0"/>
          <w:numId w:val="12"/>
        </w:numPr>
        <w:ind w:left="284" w:hanging="284"/>
        <w:jc w:val="both"/>
        <w:rPr>
          <w:rFonts w:cs="Cambria,Bold"/>
          <w:b/>
          <w:bCs/>
          <w:color w:val="548DD4" w:themeColor="text2" w:themeTint="99"/>
        </w:rPr>
      </w:pPr>
      <w:r>
        <w:rPr>
          <w:b/>
          <w:bCs/>
          <w:color w:val="548DD4" w:themeColor="text2" w:themeTint="99"/>
        </w:rPr>
        <w:t xml:space="preserve">Specific rules to avoid double counting or omissions applicable to institutions that issue co-badged cards (CB-Mastercard or CB-Visa): </w:t>
      </w:r>
    </w:p>
    <w:p w14:paraId="116B3A6C" w14:textId="77777777" w:rsidR="00C46B10" w:rsidRPr="00C46B10" w:rsidRDefault="00C46B10" w:rsidP="00495B7F">
      <w:pPr>
        <w:pStyle w:val="Paragraphedeliste"/>
        <w:jc w:val="both"/>
        <w:rPr>
          <w:rFonts w:cs="Cambria,Bold"/>
          <w:b/>
          <w:bCs/>
          <w:color w:val="548DD4" w:themeColor="text2" w:themeTint="99"/>
        </w:rPr>
      </w:pPr>
    </w:p>
    <w:p w14:paraId="59AD0C03" w14:textId="77777777" w:rsidR="00BA75F7" w:rsidRDefault="00473E96" w:rsidP="00495B7F">
      <w:pPr>
        <w:pStyle w:val="Paragraphedeliste"/>
        <w:numPr>
          <w:ilvl w:val="0"/>
          <w:numId w:val="14"/>
        </w:numPr>
        <w:jc w:val="both"/>
      </w:pPr>
      <w:r>
        <w:rPr>
          <w:b/>
          <w:u w:val="single"/>
        </w:rPr>
        <w:t>GIE-CB</w:t>
      </w:r>
      <w:r>
        <w:t>: all “CB” cards, including co-badged CB-Mastercard and CB-Visa should be declared in Section 1.1;</w:t>
      </w:r>
    </w:p>
    <w:p w14:paraId="5EB2B391" w14:textId="77777777" w:rsidR="00BA75F7" w:rsidRDefault="00BA75F7" w:rsidP="00495B7F">
      <w:pPr>
        <w:pStyle w:val="Paragraphedeliste"/>
        <w:jc w:val="both"/>
      </w:pPr>
    </w:p>
    <w:p w14:paraId="089FB1C6" w14:textId="44822EBD" w:rsidR="00BA75F7" w:rsidRDefault="00473E96" w:rsidP="00495B7F">
      <w:pPr>
        <w:pStyle w:val="Paragraphedeliste"/>
        <w:numPr>
          <w:ilvl w:val="0"/>
          <w:numId w:val="14"/>
        </w:numPr>
        <w:jc w:val="both"/>
      </w:pPr>
      <w:r>
        <w:rPr>
          <w:b/>
          <w:u w:val="single"/>
        </w:rPr>
        <w:t>Mastercard and Visa</w:t>
      </w:r>
      <w:r>
        <w:t>: only “</w:t>
      </w:r>
      <w:r w:rsidRPr="00E01BC1">
        <w:rPr>
          <w:i/>
        </w:rPr>
        <w:t>Mastercard only</w:t>
      </w:r>
      <w:r>
        <w:t>” and “</w:t>
      </w:r>
      <w:r w:rsidRPr="00E01BC1">
        <w:rPr>
          <w:i/>
        </w:rPr>
        <w:t>Visa only</w:t>
      </w:r>
      <w:r>
        <w:t>” cards should be declared in Section 1.1</w:t>
      </w:r>
      <w:r w:rsidR="008B7231">
        <w:t xml:space="preserve"> </w:t>
      </w:r>
      <w:r>
        <w:t>; co-badged CB-Mastercard and CB-Visa should be</w:t>
      </w:r>
      <w:r w:rsidR="008B7231">
        <w:t xml:space="preserve"> here</w:t>
      </w:r>
      <w:r>
        <w:t xml:space="preserve"> excluded.</w:t>
      </w:r>
    </w:p>
    <w:p w14:paraId="7173A236" w14:textId="77777777" w:rsidR="009F6546" w:rsidRDefault="009F6546">
      <w:r>
        <w:br w:type="page"/>
      </w:r>
    </w:p>
    <w:p w14:paraId="7C22F50A" w14:textId="34213409" w:rsidR="00B6564A" w:rsidRDefault="007E4607" w:rsidP="0077158F">
      <w:pPr>
        <w:rPr>
          <w:b/>
          <w:bCs/>
          <w:color w:val="548DD4" w:themeColor="text2" w:themeTint="99"/>
          <w:sz w:val="24"/>
          <w:szCs w:val="24"/>
          <w:u w:val="single"/>
        </w:rPr>
      </w:pPr>
      <w:r w:rsidRPr="00100247">
        <w:rPr>
          <w:b/>
          <w:bCs/>
          <w:color w:val="548DD4" w:themeColor="text2" w:themeTint="99"/>
          <w:sz w:val="24"/>
          <w:szCs w:val="24"/>
          <w:u w:val="single"/>
        </w:rPr>
        <w:lastRenderedPageBreak/>
        <w:t xml:space="preserve">Section 1.2 </w:t>
      </w:r>
      <w:r w:rsidRPr="00007347">
        <w:rPr>
          <w:b/>
          <w:bCs/>
          <w:color w:val="548DD4" w:themeColor="text2" w:themeTint="99"/>
          <w:sz w:val="24"/>
          <w:szCs w:val="24"/>
          <w:u w:val="single"/>
        </w:rPr>
        <w:t>– Volume and value of transactions</w:t>
      </w:r>
    </w:p>
    <w:p w14:paraId="78D60B7E" w14:textId="5C469070" w:rsidR="00CE6854" w:rsidRPr="0077158F" w:rsidRDefault="00005B39" w:rsidP="00E01BC1">
      <w:pPr>
        <w:rPr>
          <w:rFonts w:cs="Cambria,Bold"/>
          <w:b/>
          <w:bCs/>
          <w:color w:val="548DD4" w:themeColor="text2" w:themeTint="99"/>
          <w:sz w:val="24"/>
          <w:szCs w:val="24"/>
          <w:u w:val="single"/>
        </w:rPr>
      </w:pPr>
      <w:r>
        <w:rPr>
          <w:noProof/>
          <w:lang w:val="fr-FR" w:eastAsia="fr-FR"/>
        </w:rPr>
        <w:drawing>
          <wp:inline distT="0" distB="0" distL="0" distR="0" wp14:anchorId="5CF586FA" wp14:editId="3DD21876">
            <wp:extent cx="5851525" cy="583628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51525" cy="5836285"/>
                    </a:xfrm>
                    <a:prstGeom prst="rect">
                      <a:avLst/>
                    </a:prstGeom>
                  </pic:spPr>
                </pic:pic>
              </a:graphicData>
            </a:graphic>
          </wp:inline>
        </w:drawing>
      </w:r>
      <w:r w:rsidR="00007347" w:rsidRPr="00E01BC1">
        <w:rPr>
          <w:noProof/>
          <w:lang w:val="en-US" w:eastAsia="fr-FR"/>
        </w:rPr>
        <w:t xml:space="preserve"> </w:t>
      </w:r>
    </w:p>
    <w:p w14:paraId="2553FDE0" w14:textId="0E94D4C9" w:rsidR="00F23B38" w:rsidRDefault="00F23B38" w:rsidP="008067C0">
      <w:pPr>
        <w:pStyle w:val="Paragraphedeliste"/>
        <w:ind w:left="0"/>
        <w:rPr>
          <w:rFonts w:cs="Cambria,Bold"/>
          <w:b/>
          <w:bCs/>
          <w:color w:val="548DD4" w:themeColor="text2" w:themeTint="99"/>
        </w:rPr>
      </w:pPr>
    </w:p>
    <w:p w14:paraId="7EB3DDD6" w14:textId="38E2DE2E" w:rsidR="006E51E1" w:rsidRDefault="006E51E1" w:rsidP="00F23B38">
      <w:pPr>
        <w:pStyle w:val="Paragraphedeliste"/>
        <w:ind w:left="360"/>
        <w:rPr>
          <w:rFonts w:cs="Cambria,Bold"/>
          <w:b/>
          <w:bCs/>
          <w:color w:val="548DD4" w:themeColor="text2" w:themeTint="99"/>
        </w:rPr>
      </w:pPr>
    </w:p>
    <w:p w14:paraId="7272521D" w14:textId="77777777" w:rsidR="006E51E1" w:rsidRPr="00B6564A" w:rsidRDefault="006E51E1" w:rsidP="00F23B38">
      <w:pPr>
        <w:pStyle w:val="Paragraphedeliste"/>
        <w:ind w:left="360"/>
        <w:rPr>
          <w:rFonts w:cs="Cambria,Bold"/>
          <w:b/>
          <w:bCs/>
          <w:color w:val="548DD4" w:themeColor="text2" w:themeTint="99"/>
        </w:rPr>
      </w:pPr>
    </w:p>
    <w:p w14:paraId="108DA083" w14:textId="77777777" w:rsidR="001752B5" w:rsidRDefault="001752B5">
      <w:pPr>
        <w:rPr>
          <w:rFonts w:cs="Cambria,Bold"/>
          <w:b/>
          <w:bCs/>
          <w:color w:val="548DD4" w:themeColor="text2" w:themeTint="99"/>
        </w:rPr>
      </w:pPr>
      <w:r>
        <w:br w:type="page"/>
      </w:r>
    </w:p>
    <w:p w14:paraId="223F3113" w14:textId="54746683" w:rsidR="0054268E" w:rsidRDefault="009470ED" w:rsidP="00164C87">
      <w:pPr>
        <w:pStyle w:val="Paragraphedeliste"/>
        <w:numPr>
          <w:ilvl w:val="0"/>
          <w:numId w:val="12"/>
        </w:numPr>
        <w:ind w:left="284" w:hanging="284"/>
      </w:pPr>
      <w:r>
        <w:rPr>
          <w:b/>
          <w:bCs/>
          <w:color w:val="548DD4" w:themeColor="text2" w:themeTint="99"/>
        </w:rPr>
        <w:lastRenderedPageBreak/>
        <w:t>Transaction type:</w:t>
      </w:r>
    </w:p>
    <w:tbl>
      <w:tblPr>
        <w:tblW w:w="9229" w:type="dxa"/>
        <w:tblInd w:w="55" w:type="dxa"/>
        <w:tblCellMar>
          <w:left w:w="70" w:type="dxa"/>
          <w:right w:w="70" w:type="dxa"/>
        </w:tblCellMar>
        <w:tblLook w:val="04A0" w:firstRow="1" w:lastRow="0" w:firstColumn="1" w:lastColumn="0" w:noHBand="0" w:noVBand="1"/>
      </w:tblPr>
      <w:tblGrid>
        <w:gridCol w:w="2425"/>
        <w:gridCol w:w="6804"/>
      </w:tblGrid>
      <w:tr w:rsidR="0054268E" w:rsidRPr="005B346D" w14:paraId="6DBAE993" w14:textId="77777777" w:rsidTr="00C90372">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hideMark/>
          </w:tcPr>
          <w:p w14:paraId="6D4A704E" w14:textId="77777777" w:rsidR="0054268E" w:rsidRPr="00E01BC1" w:rsidRDefault="0054268E" w:rsidP="007E4607">
            <w:pPr>
              <w:spacing w:after="0" w:line="240" w:lineRule="auto"/>
              <w:jc w:val="center"/>
              <w:rPr>
                <w:rFonts w:ascii="Calibri" w:eastAsia="Times New Roman" w:hAnsi="Calibri" w:cs="Times New Roman"/>
                <w:b/>
                <w:color w:val="0070C0"/>
              </w:rPr>
            </w:pPr>
            <w:r w:rsidRPr="00E01BC1">
              <w:rPr>
                <w:rFonts w:ascii="Calibri" w:hAnsi="Calibri"/>
                <w:b/>
                <w:color w:val="0070C0"/>
              </w:rPr>
              <w:t>Face-to-face payments and UPT</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5BC34856" w14:textId="77777777" w:rsidR="0054268E" w:rsidRPr="005B346D" w:rsidRDefault="0054268E" w:rsidP="007E4607">
            <w:pPr>
              <w:spacing w:after="0" w:line="240" w:lineRule="auto"/>
              <w:jc w:val="both"/>
              <w:rPr>
                <w:rFonts w:ascii="Calibri" w:eastAsia="Times New Roman" w:hAnsi="Calibri" w:cs="Times New Roman"/>
                <w:color w:val="000000"/>
              </w:rPr>
            </w:pPr>
            <w:r>
              <w:rPr>
                <w:rFonts w:ascii="Calibri" w:hAnsi="Calibri"/>
                <w:color w:val="000000"/>
              </w:rPr>
              <w:t>Payments made at a point of sale or at an unattended payment terminal (UPT), including contactless payments.</w:t>
            </w:r>
          </w:p>
        </w:tc>
      </w:tr>
      <w:tr w:rsidR="008653E0" w:rsidRPr="005B346D" w14:paraId="1003A8EC" w14:textId="77777777" w:rsidTr="00C90372">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369FA08B" w14:textId="666F7EA2" w:rsidR="008653E0" w:rsidRDefault="008653E0" w:rsidP="00B26E0A">
            <w:pPr>
              <w:spacing w:after="0" w:line="240" w:lineRule="auto"/>
              <w:jc w:val="center"/>
              <w:rPr>
                <w:rFonts w:ascii="Calibri" w:eastAsia="Times New Roman" w:hAnsi="Calibri" w:cs="Times New Roman"/>
                <w:color w:val="0070C0"/>
              </w:rPr>
            </w:pPr>
            <w:r>
              <w:rPr>
                <w:rFonts w:ascii="Calibri" w:hAnsi="Calibri"/>
                <w:color w:val="0070C0"/>
              </w:rPr>
              <w:t>Of which, payments with strong authentication</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24DEBCF4" w14:textId="011F384A" w:rsidR="008653E0" w:rsidRDefault="007C2DBE" w:rsidP="0016531D">
            <w:pPr>
              <w:spacing w:after="0" w:line="240" w:lineRule="auto"/>
              <w:jc w:val="both"/>
              <w:rPr>
                <w:rFonts w:ascii="Calibri" w:eastAsia="Times New Roman" w:hAnsi="Calibri" w:cs="Times New Roman"/>
                <w:color w:val="000000"/>
              </w:rPr>
            </w:pPr>
            <w:r>
              <w:rPr>
                <w:rFonts w:ascii="Calibri" w:hAnsi="Calibri"/>
                <w:color w:val="000000"/>
              </w:rPr>
              <w:t>Face-to-face payments by card authorised using a strong authentication method, such as “Chip and PIN” payments or payments with PIN Online verification, using a biometric bank card or by mobile devices with biometric sensors, mPIN entry or passwords.</w:t>
            </w:r>
          </w:p>
        </w:tc>
      </w:tr>
      <w:tr w:rsidR="008653E0" w:rsidRPr="005B346D" w14:paraId="633C2F4D" w14:textId="77777777" w:rsidTr="00C90372">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777415C3" w14:textId="081CA282" w:rsidR="008653E0" w:rsidRDefault="008653E0" w:rsidP="00B26E0A">
            <w:pPr>
              <w:spacing w:after="0" w:line="240" w:lineRule="auto"/>
              <w:jc w:val="center"/>
              <w:rPr>
                <w:rFonts w:ascii="Calibri" w:eastAsia="Times New Roman" w:hAnsi="Calibri" w:cs="Times New Roman"/>
                <w:color w:val="0070C0"/>
              </w:rPr>
            </w:pPr>
            <w:r>
              <w:rPr>
                <w:rFonts w:ascii="Calibri" w:hAnsi="Calibri"/>
                <w:color w:val="0070C0"/>
              </w:rPr>
              <w:t>Of which, payments without strong authentication</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3B73C43D" w14:textId="5C1519F3" w:rsidR="008653E0" w:rsidRDefault="007C2DBE" w:rsidP="00AB01D4">
            <w:pPr>
              <w:spacing w:after="0" w:line="240" w:lineRule="auto"/>
              <w:jc w:val="both"/>
              <w:rPr>
                <w:rFonts w:ascii="Calibri" w:eastAsia="Times New Roman" w:hAnsi="Calibri" w:cs="Times New Roman"/>
                <w:color w:val="000000"/>
              </w:rPr>
            </w:pPr>
            <w:r>
              <w:rPr>
                <w:rFonts w:ascii="Calibri" w:hAnsi="Calibri"/>
                <w:color w:val="000000"/>
              </w:rPr>
              <w:t>Face-to-face payments by card without strong authentication, including magnetic strip card or chip card payments with a written signature, contactless pay</w:t>
            </w:r>
            <w:r w:rsidR="00066C18">
              <w:rPr>
                <w:rFonts w:ascii="Calibri" w:hAnsi="Calibri"/>
                <w:color w:val="000000"/>
              </w:rPr>
              <w:t>ments without biometric or PIN o</w:t>
            </w:r>
            <w:r>
              <w:rPr>
                <w:rFonts w:ascii="Calibri" w:hAnsi="Calibri"/>
                <w:color w:val="000000"/>
              </w:rPr>
              <w:t>nline verification, or mobile payments without authentication via an inherence factor (through biometric sensors) or a knowledge factor (password).</w:t>
            </w:r>
          </w:p>
        </w:tc>
      </w:tr>
      <w:tr w:rsidR="00525878" w:rsidRPr="005B346D" w14:paraId="0CAEEE4E" w14:textId="77777777" w:rsidTr="00C90372">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16EF8055" w14:textId="77777777" w:rsidR="00525878" w:rsidRDefault="00525878" w:rsidP="00100766">
            <w:pPr>
              <w:spacing w:after="0" w:line="240" w:lineRule="auto"/>
              <w:jc w:val="center"/>
              <w:rPr>
                <w:rFonts w:ascii="Calibri" w:eastAsia="Times New Roman" w:hAnsi="Calibri" w:cs="Times New Roman"/>
                <w:color w:val="0070C0"/>
              </w:rPr>
            </w:pPr>
            <w:r>
              <w:rPr>
                <w:rFonts w:ascii="Calibri" w:hAnsi="Calibri"/>
                <w:color w:val="0070C0"/>
              </w:rPr>
              <w:t>Of which, contactless payments</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7D1AEACE" w14:textId="2FA0C6DC" w:rsidR="00525878" w:rsidRDefault="00100766" w:rsidP="007E4607">
            <w:pPr>
              <w:spacing w:after="0" w:line="240" w:lineRule="auto"/>
              <w:jc w:val="both"/>
              <w:rPr>
                <w:rFonts w:ascii="Calibri" w:eastAsia="Times New Roman" w:hAnsi="Calibri" w:cs="Times New Roman"/>
                <w:color w:val="000000"/>
              </w:rPr>
            </w:pPr>
            <w:r>
              <w:rPr>
                <w:rFonts w:ascii="Calibri" w:hAnsi="Calibri"/>
                <w:color w:val="000000"/>
              </w:rPr>
              <w:t>Face-to-face payments using the card’s contactless function.</w:t>
            </w:r>
          </w:p>
        </w:tc>
      </w:tr>
      <w:tr w:rsidR="0078544F" w:rsidRPr="005B346D" w14:paraId="1605E5B5" w14:textId="77777777" w:rsidTr="00C90372">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2DF8D76A" w14:textId="77777777" w:rsidR="0078544F" w:rsidRDefault="0078544F" w:rsidP="007E4607">
            <w:pPr>
              <w:spacing w:after="0" w:line="240" w:lineRule="auto"/>
              <w:jc w:val="center"/>
              <w:rPr>
                <w:rFonts w:ascii="Calibri" w:eastAsia="Times New Roman" w:hAnsi="Calibri" w:cs="Times New Roman"/>
                <w:color w:val="0070C0"/>
              </w:rPr>
            </w:pPr>
            <w:r>
              <w:rPr>
                <w:rFonts w:ascii="Calibri" w:hAnsi="Calibri"/>
                <w:color w:val="0070C0"/>
              </w:rPr>
              <w:t>Of which, mobile payments</w:t>
            </w:r>
          </w:p>
          <w:p w14:paraId="3E6CD660" w14:textId="77777777" w:rsidR="00717D8F" w:rsidRPr="00FF57F7" w:rsidRDefault="00717D8F" w:rsidP="007E4607">
            <w:pPr>
              <w:spacing w:after="0" w:line="240" w:lineRule="auto"/>
              <w:jc w:val="center"/>
              <w:rPr>
                <w:rFonts w:ascii="Calibri" w:eastAsia="Times New Roman" w:hAnsi="Calibri" w:cs="Times New Roman"/>
                <w:color w:val="FF0000"/>
                <w:lang w:eastAsia="fr-FR"/>
              </w:rPr>
            </w:pP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7068E4AF" w14:textId="0B51D1F4" w:rsidR="0078544F" w:rsidRPr="00704767" w:rsidRDefault="0078544F" w:rsidP="00B72BD1">
            <w:pPr>
              <w:spacing w:after="0" w:line="240" w:lineRule="auto"/>
              <w:jc w:val="both"/>
              <w:rPr>
                <w:rFonts w:ascii="Calibri" w:eastAsia="Times New Roman" w:hAnsi="Calibri" w:cs="Times New Roman"/>
                <w:color w:val="000000"/>
              </w:rPr>
            </w:pPr>
            <w:r>
              <w:rPr>
                <w:rFonts w:ascii="Calibri" w:hAnsi="Calibri"/>
                <w:color w:val="000000"/>
              </w:rPr>
              <w:t>Face-to-face payments using a mobile device (telephone, tablet, connected smartwatch, etc.) to initiate a payment order through contactless technologies, such as NFC, Bluetooth, 1D or 2D barcodes, etc., and potentially to arrange money transfers. The most commonly known include Apple Pay, Samsung Pay, Google Pay, Lyf Pay and Paylib</w:t>
            </w:r>
            <w:r w:rsidR="00066C18">
              <w:rPr>
                <w:rFonts w:ascii="Calibri" w:hAnsi="Calibri"/>
                <w:color w:val="000000"/>
              </w:rPr>
              <w:t xml:space="preserve"> contactless payment</w:t>
            </w:r>
            <w:r>
              <w:rPr>
                <w:rFonts w:ascii="Calibri" w:hAnsi="Calibri"/>
                <w:color w:val="000000"/>
              </w:rPr>
              <w:t>.</w:t>
            </w:r>
          </w:p>
          <w:p w14:paraId="0319F62E" w14:textId="385CD61A" w:rsidR="00717D8F" w:rsidRDefault="00717D8F" w:rsidP="00F20BEE">
            <w:pPr>
              <w:spacing w:after="0" w:line="240" w:lineRule="auto"/>
              <w:jc w:val="both"/>
              <w:rPr>
                <w:rFonts w:ascii="Calibri" w:eastAsia="Times New Roman" w:hAnsi="Calibri" w:cs="Times New Roman"/>
                <w:color w:val="000000"/>
              </w:rPr>
            </w:pPr>
            <w:r>
              <w:rPr>
                <w:rFonts w:ascii="Calibri" w:hAnsi="Calibri"/>
                <w:color w:val="FF0000"/>
              </w:rPr>
              <w:sym w:font="Wingdings" w:char="F04D"/>
            </w:r>
            <w:r>
              <w:rPr>
                <w:rFonts w:ascii="Calibri" w:hAnsi="Calibri"/>
                <w:color w:val="FF0000"/>
              </w:rPr>
              <w:t>“Mobile payment</w:t>
            </w:r>
            <w:r w:rsidR="00005B39">
              <w:rPr>
                <w:rFonts w:ascii="Calibri" w:hAnsi="Calibri"/>
                <w:color w:val="FF0000"/>
              </w:rPr>
              <w:t>s</w:t>
            </w:r>
            <w:r>
              <w:rPr>
                <w:rFonts w:ascii="Calibri" w:hAnsi="Calibri"/>
                <w:color w:val="FF0000"/>
              </w:rPr>
              <w:t>” are a sub-category of “contactless payments”.</w:t>
            </w:r>
          </w:p>
        </w:tc>
      </w:tr>
      <w:tr w:rsidR="008653E0" w:rsidRPr="005B346D" w14:paraId="440E163A" w14:textId="77777777" w:rsidTr="00525878">
        <w:trPr>
          <w:trHeight w:val="750"/>
        </w:trPr>
        <w:tc>
          <w:tcPr>
            <w:tcW w:w="2425" w:type="dxa"/>
            <w:tcBorders>
              <w:left w:val="single" w:sz="12" w:space="0" w:color="0070C0"/>
              <w:bottom w:val="single" w:sz="12" w:space="0" w:color="0070C0"/>
              <w:right w:val="single" w:sz="12" w:space="0" w:color="0070C0"/>
            </w:tcBorders>
            <w:shd w:val="clear" w:color="auto" w:fill="auto"/>
            <w:vAlign w:val="center"/>
          </w:tcPr>
          <w:p w14:paraId="7B49FD8F" w14:textId="77777777" w:rsidR="008653E0" w:rsidRDefault="008653E0" w:rsidP="007E4607">
            <w:pPr>
              <w:spacing w:after="0" w:line="240" w:lineRule="auto"/>
              <w:jc w:val="center"/>
              <w:rPr>
                <w:rFonts w:ascii="Calibri" w:eastAsia="Times New Roman" w:hAnsi="Calibri" w:cs="Times New Roman"/>
                <w:color w:val="0070C0"/>
              </w:rPr>
            </w:pPr>
            <w:r>
              <w:rPr>
                <w:rFonts w:ascii="Calibri" w:hAnsi="Calibri"/>
                <w:color w:val="0070C0"/>
              </w:rPr>
              <w:t>Of which, other</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60915F9E" w14:textId="77777777" w:rsidR="008653E0" w:rsidRDefault="007C2DBE" w:rsidP="0016531D">
            <w:pPr>
              <w:spacing w:after="0" w:line="240" w:lineRule="auto"/>
              <w:jc w:val="both"/>
              <w:rPr>
                <w:rFonts w:ascii="Calibri" w:eastAsia="Times New Roman" w:hAnsi="Calibri" w:cs="Times New Roman"/>
                <w:color w:val="000000"/>
              </w:rPr>
            </w:pPr>
            <w:r>
              <w:rPr>
                <w:rFonts w:ascii="Calibri" w:hAnsi="Calibri"/>
                <w:color w:val="000000"/>
              </w:rPr>
              <w:t>Payments at parking pay points or motorway toll booths, for example, by swiping the card’s magnetic stripe.</w:t>
            </w:r>
          </w:p>
        </w:tc>
      </w:tr>
      <w:tr w:rsidR="0078544F" w:rsidRPr="005B346D" w14:paraId="7E6C374E"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6B778323" w14:textId="77777777" w:rsidR="0078544F" w:rsidRPr="00E01BC1" w:rsidRDefault="0078544F" w:rsidP="007E4607">
            <w:pPr>
              <w:spacing w:after="0" w:line="240" w:lineRule="auto"/>
              <w:jc w:val="center"/>
              <w:rPr>
                <w:rFonts w:ascii="Calibri" w:eastAsia="Times New Roman" w:hAnsi="Calibri" w:cs="Times New Roman"/>
                <w:b/>
                <w:color w:val="0070C0"/>
              </w:rPr>
            </w:pPr>
            <w:r w:rsidRPr="00E01BC1">
              <w:rPr>
                <w:rFonts w:ascii="Calibri" w:hAnsi="Calibri"/>
                <w:b/>
                <w:color w:val="0070C0"/>
              </w:rPr>
              <w:t>Remote payments (excluding online)</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62EECE46" w14:textId="77777777" w:rsidR="0078544F" w:rsidRPr="005B346D" w:rsidRDefault="0078544F" w:rsidP="00F20BEE">
            <w:pPr>
              <w:spacing w:after="0" w:line="240" w:lineRule="auto"/>
              <w:jc w:val="both"/>
              <w:rPr>
                <w:rFonts w:ascii="Calibri" w:eastAsia="Times New Roman" w:hAnsi="Calibri" w:cs="Times New Roman"/>
                <w:color w:val="000000"/>
              </w:rPr>
            </w:pPr>
            <w:r>
              <w:rPr>
                <w:rFonts w:ascii="Calibri" w:hAnsi="Calibri"/>
                <w:color w:val="000000"/>
              </w:rPr>
              <w:t>Payments made by post or email or by telephone or fax (mail order/telephone order).</w:t>
            </w:r>
          </w:p>
        </w:tc>
      </w:tr>
      <w:tr w:rsidR="007D1664" w:rsidRPr="005B346D" w14:paraId="3C22CB1C"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3739310C" w14:textId="63AAEDF6" w:rsidR="007D1664" w:rsidRPr="00E01BC1" w:rsidRDefault="007D1664" w:rsidP="007E4607">
            <w:pPr>
              <w:spacing w:after="0" w:line="240" w:lineRule="auto"/>
              <w:jc w:val="center"/>
              <w:rPr>
                <w:rFonts w:ascii="Calibri" w:eastAsia="Times New Roman" w:hAnsi="Calibri" w:cs="Times New Roman"/>
                <w:b/>
                <w:color w:val="0070C0"/>
              </w:rPr>
            </w:pPr>
            <w:r w:rsidRPr="00E01BC1">
              <w:rPr>
                <w:rFonts w:ascii="Calibri" w:hAnsi="Calibri"/>
                <w:b/>
                <w:color w:val="0070C0"/>
              </w:rPr>
              <w:t>Online payments</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281B589A" w14:textId="34E8CCE9" w:rsidR="007D1664" w:rsidRDefault="007D1664" w:rsidP="00F20BEE">
            <w:pPr>
              <w:spacing w:after="0" w:line="240" w:lineRule="auto"/>
              <w:jc w:val="both"/>
              <w:rPr>
                <w:rFonts w:ascii="Calibri" w:eastAsia="Times New Roman" w:hAnsi="Calibri" w:cs="Times New Roman"/>
                <w:color w:val="000000"/>
              </w:rPr>
            </w:pPr>
            <w:r>
              <w:rPr>
                <w:rFonts w:ascii="Calibri" w:hAnsi="Calibri"/>
                <w:color w:val="000000"/>
              </w:rPr>
              <w:t>Payments made on the internet (on a merchant’s site or through an application).</w:t>
            </w:r>
          </w:p>
        </w:tc>
      </w:tr>
      <w:tr w:rsidR="007D1664" w:rsidRPr="005B346D" w14:paraId="7D3A7685"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132C516" w14:textId="14EE9F2D" w:rsidR="007D1664" w:rsidRPr="007D1664" w:rsidRDefault="007D1664" w:rsidP="007E4607">
            <w:pPr>
              <w:spacing w:after="0" w:line="240" w:lineRule="auto"/>
              <w:jc w:val="center"/>
              <w:rPr>
                <w:rFonts w:ascii="Calibri" w:eastAsia="Times New Roman" w:hAnsi="Calibri" w:cs="Times New Roman"/>
                <w:color w:val="0070C0"/>
              </w:rPr>
            </w:pPr>
            <w:r>
              <w:rPr>
                <w:rFonts w:ascii="Calibri" w:hAnsi="Calibri"/>
                <w:color w:val="0070C0"/>
              </w:rPr>
              <w:t>Of which, 3D Secure payments with strong authentication</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53BFB974" w14:textId="0024DCF1" w:rsidR="007D1664" w:rsidRDefault="007D1664" w:rsidP="008B7231">
            <w:pPr>
              <w:spacing w:after="0" w:line="240" w:lineRule="auto"/>
              <w:jc w:val="both"/>
              <w:rPr>
                <w:rFonts w:ascii="Calibri" w:eastAsia="Times New Roman" w:hAnsi="Calibri" w:cs="Times New Roman"/>
                <w:color w:val="000000"/>
              </w:rPr>
            </w:pPr>
            <w:r>
              <w:rPr>
                <w:rFonts w:ascii="Calibri" w:hAnsi="Calibri"/>
                <w:color w:val="000000"/>
              </w:rPr>
              <w:t>Payments made on the internet via a 3D Secure infrastructure</w:t>
            </w:r>
            <w:r w:rsidR="008B7231">
              <w:rPr>
                <w:rFonts w:ascii="Calibri" w:hAnsi="Calibri"/>
                <w:color w:val="000000"/>
              </w:rPr>
              <w:t xml:space="preserve"> (or equivalent)</w:t>
            </w:r>
            <w:r>
              <w:rPr>
                <w:rFonts w:ascii="Calibri" w:hAnsi="Calibri"/>
                <w:color w:val="000000"/>
              </w:rPr>
              <w:t xml:space="preserve"> with a strong cardholder authentication arrangement.</w:t>
            </w:r>
            <w:r w:rsidR="0005443E">
              <w:rPr>
                <w:rFonts w:ascii="Calibri" w:hAnsi="Calibri"/>
                <w:color w:val="000000"/>
              </w:rPr>
              <w:t xml:space="preserve"> This category can include payments</w:t>
            </w:r>
            <w:r w:rsidR="00005B39">
              <w:rPr>
                <w:rFonts w:ascii="Calibri" w:hAnsi="Calibri"/>
                <w:color w:val="000000"/>
              </w:rPr>
              <w:t xml:space="preserve">, where the issuer has outsourced the provision and verification of the SCA </w:t>
            </w:r>
            <w:r w:rsidR="0005443E">
              <w:rPr>
                <w:rFonts w:ascii="Calibri" w:hAnsi="Calibri"/>
                <w:color w:val="000000"/>
              </w:rPr>
              <w:t>to a</w:t>
            </w:r>
            <w:r w:rsidR="00005B39">
              <w:rPr>
                <w:rFonts w:ascii="Calibri" w:hAnsi="Calibri"/>
                <w:color w:val="000000"/>
              </w:rPr>
              <w:t xml:space="preserve"> </w:t>
            </w:r>
            <w:r w:rsidR="0005443E">
              <w:rPr>
                <w:rFonts w:ascii="Calibri" w:hAnsi="Calibri"/>
                <w:color w:val="000000"/>
              </w:rPr>
              <w:t xml:space="preserve">third party in compliance with </w:t>
            </w:r>
            <w:r w:rsidR="00005B39">
              <w:rPr>
                <w:rFonts w:ascii="Calibri" w:hAnsi="Calibri"/>
                <w:color w:val="000000"/>
              </w:rPr>
              <w:t>the requirements in PSD2 and EBA Guidelines on outsourcing arrangements</w:t>
            </w:r>
            <w:r w:rsidR="0005443E">
              <w:rPr>
                <w:rFonts w:ascii="Calibri" w:hAnsi="Calibri"/>
                <w:color w:val="000000"/>
              </w:rPr>
              <w:t xml:space="preserve"> (ex: </w:t>
            </w:r>
            <w:r w:rsidR="00005B39">
              <w:rPr>
                <w:rFonts w:ascii="Calibri" w:hAnsi="Calibri"/>
                <w:color w:val="000000"/>
              </w:rPr>
              <w:t>digital</w:t>
            </w:r>
            <w:r w:rsidR="0005443E">
              <w:rPr>
                <w:rFonts w:ascii="Calibri" w:hAnsi="Calibri"/>
                <w:color w:val="000000"/>
              </w:rPr>
              <w:t xml:space="preserve"> wallet</w:t>
            </w:r>
            <w:r w:rsidR="00005B39">
              <w:rPr>
                <w:rFonts w:ascii="Calibri" w:hAnsi="Calibri"/>
                <w:color w:val="000000"/>
              </w:rPr>
              <w:t xml:space="preserve"> provider, </w:t>
            </w:r>
            <w:r w:rsidR="0005443E">
              <w:rPr>
                <w:rFonts w:ascii="Calibri" w:hAnsi="Calibri"/>
                <w:color w:val="000000"/>
              </w:rPr>
              <w:t xml:space="preserve"> </w:t>
            </w:r>
            <w:r w:rsidR="00005B39">
              <w:rPr>
                <w:rFonts w:ascii="Calibri" w:hAnsi="Calibri"/>
                <w:color w:val="000000"/>
              </w:rPr>
              <w:t>merchant etc.</w:t>
            </w:r>
            <w:r w:rsidR="0005443E">
              <w:rPr>
                <w:rFonts w:ascii="Calibri" w:hAnsi="Calibri"/>
                <w:color w:val="000000"/>
              </w:rPr>
              <w:t>).</w:t>
            </w:r>
          </w:p>
        </w:tc>
      </w:tr>
      <w:tr w:rsidR="0005443E" w:rsidRPr="005B346D" w14:paraId="1729282F"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BBE9B3F" w14:textId="3515CF04" w:rsidR="0005443E" w:rsidRDefault="0005443E" w:rsidP="00007347">
            <w:pPr>
              <w:spacing w:after="0" w:line="240" w:lineRule="auto"/>
              <w:jc w:val="center"/>
              <w:rPr>
                <w:rFonts w:ascii="Calibri" w:hAnsi="Calibri"/>
                <w:color w:val="0070C0"/>
              </w:rPr>
            </w:pPr>
            <w:r>
              <w:rPr>
                <w:rFonts w:ascii="Calibri" w:hAnsi="Calibri"/>
                <w:color w:val="0070C0"/>
              </w:rPr>
              <w:t xml:space="preserve">Of which </w:t>
            </w:r>
            <w:r w:rsidR="00007347">
              <w:rPr>
                <w:rFonts w:ascii="Calibri" w:hAnsi="Calibri"/>
                <w:color w:val="0070C0"/>
              </w:rPr>
              <w:t>non</w:t>
            </w:r>
            <w:r>
              <w:rPr>
                <w:rFonts w:ascii="Calibri" w:hAnsi="Calibri"/>
                <w:color w:val="0070C0"/>
              </w:rPr>
              <w:t xml:space="preserve"> 3D-Secure payments with strong authentication</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6A569899" w14:textId="19F15654" w:rsidR="0005443E" w:rsidRDefault="0005443E" w:rsidP="008B7231">
            <w:pPr>
              <w:spacing w:after="0" w:line="240" w:lineRule="auto"/>
              <w:jc w:val="both"/>
              <w:rPr>
                <w:rFonts w:ascii="Calibri" w:hAnsi="Calibri"/>
                <w:color w:val="000000"/>
              </w:rPr>
            </w:pPr>
            <w:r>
              <w:rPr>
                <w:rFonts w:ascii="Calibri" w:hAnsi="Calibri"/>
                <w:color w:val="000000"/>
              </w:rPr>
              <w:t xml:space="preserve">Online payments without using 3D-secure </w:t>
            </w:r>
            <w:r w:rsidR="000C30E2">
              <w:rPr>
                <w:rFonts w:ascii="Calibri" w:hAnsi="Calibri"/>
                <w:color w:val="000000"/>
              </w:rPr>
              <w:t>protocol</w:t>
            </w:r>
            <w:r w:rsidR="008B7231">
              <w:rPr>
                <w:rFonts w:ascii="Calibri" w:hAnsi="Calibri"/>
                <w:color w:val="000000"/>
              </w:rPr>
              <w:t xml:space="preserve"> (or equivalent)</w:t>
            </w:r>
            <w:r>
              <w:rPr>
                <w:rFonts w:ascii="Calibri" w:hAnsi="Calibri"/>
                <w:color w:val="000000"/>
              </w:rPr>
              <w:t xml:space="preserve">. </w:t>
            </w:r>
            <w:r w:rsidR="008B7231">
              <w:rPr>
                <w:rFonts w:ascii="Calibri" w:hAnsi="Calibri"/>
                <w:color w:val="000000"/>
              </w:rPr>
              <w:t>The provision and verification of the SCA is outsourced to a third party in compliance with the requirements in PSD2 and EBA Guidelines on outsourcing arrangements (ex: digital wallet provider, merchant etc.).</w:t>
            </w:r>
          </w:p>
        </w:tc>
      </w:tr>
      <w:tr w:rsidR="007D1664" w:rsidRPr="005B346D" w14:paraId="57DACBAF"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6C50DC74" w14:textId="42E8077A" w:rsidR="007D1664" w:rsidRPr="007D1664" w:rsidRDefault="007D1664" w:rsidP="007E4607">
            <w:pPr>
              <w:spacing w:after="0" w:line="240" w:lineRule="auto"/>
              <w:jc w:val="center"/>
              <w:rPr>
                <w:rFonts w:ascii="Calibri" w:eastAsia="Times New Roman" w:hAnsi="Calibri" w:cs="Times New Roman"/>
                <w:color w:val="0070C0"/>
              </w:rPr>
            </w:pPr>
            <w:r>
              <w:rPr>
                <w:rFonts w:ascii="Calibri" w:hAnsi="Calibri"/>
                <w:color w:val="0070C0"/>
              </w:rPr>
              <w:t>Of which, 3D Secure payments without strong authentication</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752642BA" w14:textId="6C6FB00A" w:rsidR="007D1664" w:rsidRDefault="007D1664" w:rsidP="00106791">
            <w:pPr>
              <w:spacing w:after="0" w:line="240" w:lineRule="auto"/>
              <w:jc w:val="both"/>
              <w:rPr>
                <w:rFonts w:ascii="Calibri" w:eastAsia="Times New Roman" w:hAnsi="Calibri" w:cs="Times New Roman"/>
                <w:color w:val="000000"/>
              </w:rPr>
            </w:pPr>
            <w:r>
              <w:rPr>
                <w:rFonts w:ascii="Calibri" w:hAnsi="Calibri"/>
                <w:color w:val="000000"/>
              </w:rPr>
              <w:t xml:space="preserve">Payments made on the internet via a 3D Secure infrastructure without a strong cardholder authentication arrangement (i.e. by applying a predefined </w:t>
            </w:r>
            <w:r w:rsidR="00002283">
              <w:rPr>
                <w:rFonts w:ascii="Calibri" w:hAnsi="Calibri"/>
                <w:color w:val="000000"/>
              </w:rPr>
              <w:t>PSD2</w:t>
            </w:r>
            <w:r>
              <w:rPr>
                <w:rFonts w:ascii="Calibri" w:hAnsi="Calibri"/>
                <w:color w:val="000000"/>
              </w:rPr>
              <w:t xml:space="preserve"> exemption or in the event of an incident preventing 3D Secure implementation).</w:t>
            </w:r>
            <w:r w:rsidR="00194C42">
              <w:rPr>
                <w:rFonts w:ascii="Calibri" w:hAnsi="Calibri"/>
                <w:color w:val="000000"/>
              </w:rPr>
              <w:t xml:space="preserve"> </w:t>
            </w:r>
            <w:r w:rsidR="00106791" w:rsidRPr="00644CFD">
              <w:rPr>
                <w:rFonts w:ascii="Calibri" w:hAnsi="Calibri"/>
                <w:color w:val="000000"/>
              </w:rPr>
              <w:t xml:space="preserve">That category includes </w:t>
            </w:r>
            <w:r w:rsidR="00194C42" w:rsidRPr="00644CFD">
              <w:rPr>
                <w:rFonts w:ascii="Calibri" w:hAnsi="Calibri"/>
                <w:color w:val="000000"/>
              </w:rPr>
              <w:t xml:space="preserve">3D secure payments relying on a single </w:t>
            </w:r>
            <w:r w:rsidR="00002283">
              <w:rPr>
                <w:rFonts w:ascii="Calibri" w:hAnsi="Calibri"/>
                <w:color w:val="000000"/>
              </w:rPr>
              <w:t>element of</w:t>
            </w:r>
            <w:r w:rsidR="00194C42" w:rsidRPr="00644CFD">
              <w:rPr>
                <w:rFonts w:ascii="Calibri" w:hAnsi="Calibri"/>
                <w:color w:val="000000"/>
              </w:rPr>
              <w:t xml:space="preserve"> authentication (e.g</w:t>
            </w:r>
            <w:r w:rsidR="00002283">
              <w:rPr>
                <w:rFonts w:ascii="Calibri" w:hAnsi="Calibri"/>
                <w:color w:val="000000"/>
              </w:rPr>
              <w:t>.</w:t>
            </w:r>
            <w:r w:rsidR="00194C42" w:rsidRPr="00644CFD">
              <w:rPr>
                <w:rFonts w:ascii="Calibri" w:hAnsi="Calibri"/>
                <w:color w:val="000000"/>
              </w:rPr>
              <w:t xml:space="preserve"> SMS-OTP only).</w:t>
            </w:r>
          </w:p>
        </w:tc>
      </w:tr>
      <w:tr w:rsidR="007D1664" w:rsidRPr="005B346D" w14:paraId="761CEF6F"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6CD11549" w14:textId="3E551532" w:rsidR="007D1664" w:rsidRPr="007D1664" w:rsidRDefault="00B32568" w:rsidP="00DE2201">
            <w:pPr>
              <w:spacing w:after="0" w:line="240" w:lineRule="auto"/>
              <w:jc w:val="center"/>
              <w:rPr>
                <w:rFonts w:ascii="Calibri" w:eastAsia="Times New Roman" w:hAnsi="Calibri" w:cs="Times New Roman"/>
                <w:color w:val="0070C0"/>
              </w:rPr>
            </w:pPr>
            <w:r>
              <w:rPr>
                <w:rFonts w:ascii="Calibri" w:hAnsi="Calibri"/>
                <w:color w:val="0070C0"/>
              </w:rPr>
              <w:t>Of which non-authenticated</w:t>
            </w:r>
            <w:r w:rsidR="007D1664">
              <w:rPr>
                <w:rFonts w:ascii="Calibri" w:hAnsi="Calibri"/>
                <w:color w:val="0070C0"/>
              </w:rPr>
              <w:t xml:space="preserve"> payments </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2C2A8429" w14:textId="6BF04D63" w:rsidR="007D1664" w:rsidRDefault="00100247" w:rsidP="008B7231">
            <w:pPr>
              <w:spacing w:after="0" w:line="240" w:lineRule="auto"/>
              <w:jc w:val="both"/>
              <w:rPr>
                <w:rFonts w:ascii="Calibri" w:eastAsia="Times New Roman" w:hAnsi="Calibri" w:cs="Times New Roman"/>
                <w:color w:val="000000"/>
              </w:rPr>
            </w:pPr>
            <w:r w:rsidRPr="00100247">
              <w:rPr>
                <w:rFonts w:ascii="Calibri" w:eastAsia="Times New Roman" w:hAnsi="Calibri" w:cs="Times New Roman"/>
                <w:color w:val="000000"/>
              </w:rPr>
              <w:t>Online payments made without using the 3D Secure protocol</w:t>
            </w:r>
            <w:r w:rsidR="008B7231">
              <w:rPr>
                <w:rFonts w:ascii="Calibri" w:eastAsia="Times New Roman" w:hAnsi="Calibri" w:cs="Times New Roman"/>
                <w:color w:val="000000"/>
              </w:rPr>
              <w:t xml:space="preserve"> (or equivalent)</w:t>
            </w:r>
            <w:r w:rsidR="000C30E2">
              <w:rPr>
                <w:rFonts w:ascii="Calibri" w:eastAsia="Times New Roman" w:hAnsi="Calibri" w:cs="Times New Roman"/>
                <w:color w:val="000000"/>
              </w:rPr>
              <w:t xml:space="preserve"> </w:t>
            </w:r>
            <w:r w:rsidR="008B7231" w:rsidRPr="00E01BC1">
              <w:rPr>
                <w:rFonts w:ascii="Calibri" w:eastAsia="Times New Roman" w:hAnsi="Calibri" w:cs="Times New Roman"/>
                <w:color w:val="000000"/>
                <w:u w:val="single"/>
              </w:rPr>
              <w:t>and</w:t>
            </w:r>
            <w:r w:rsidR="008B7231">
              <w:rPr>
                <w:rFonts w:ascii="Calibri" w:eastAsia="Times New Roman" w:hAnsi="Calibri" w:cs="Times New Roman"/>
                <w:color w:val="000000"/>
              </w:rPr>
              <w:t xml:space="preserve"> without any SCA</w:t>
            </w:r>
            <w:r w:rsidRPr="00100247">
              <w:rPr>
                <w:rFonts w:ascii="Calibri" w:eastAsia="Times New Roman" w:hAnsi="Calibri" w:cs="Times New Roman"/>
                <w:color w:val="000000"/>
              </w:rPr>
              <w:t>.</w:t>
            </w:r>
          </w:p>
        </w:tc>
      </w:tr>
      <w:tr w:rsidR="00B96481" w:rsidRPr="005B346D" w14:paraId="1E954F42"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0D89AC35" w14:textId="088CE83E" w:rsidR="00B96481" w:rsidRPr="000718AC" w:rsidRDefault="00B84290" w:rsidP="007E4607">
            <w:pPr>
              <w:spacing w:after="0" w:line="240" w:lineRule="auto"/>
              <w:jc w:val="center"/>
              <w:rPr>
                <w:rFonts w:ascii="Calibri" w:hAnsi="Calibri"/>
                <w:color w:val="0070C0"/>
              </w:rPr>
            </w:pPr>
            <w:r w:rsidRPr="000718AC">
              <w:rPr>
                <w:rFonts w:ascii="Calibri" w:hAnsi="Calibri"/>
                <w:color w:val="0070C0"/>
              </w:rPr>
              <w:t>o/w Merchant Initiated Transaction</w:t>
            </w:r>
            <w:r w:rsidR="00861235">
              <w:rPr>
                <w:rFonts w:ascii="Calibri" w:hAnsi="Calibri"/>
                <w:color w:val="0070C0"/>
              </w:rPr>
              <w:t>s</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75A0381B" w14:textId="7CD5C69F" w:rsidR="00B96481" w:rsidRPr="00D005C7" w:rsidRDefault="00100247" w:rsidP="00D91485">
            <w:pPr>
              <w:spacing w:after="0" w:line="240" w:lineRule="auto"/>
              <w:jc w:val="both"/>
              <w:rPr>
                <w:rFonts w:ascii="Calibri" w:hAnsi="Calibri"/>
                <w:color w:val="000000"/>
                <w:highlight w:val="cyan"/>
              </w:rPr>
            </w:pPr>
            <w:r w:rsidRPr="00100247">
              <w:rPr>
                <w:rFonts w:ascii="Calibri" w:hAnsi="Calibri"/>
                <w:color w:val="000000"/>
              </w:rPr>
              <w:t xml:space="preserve">Payments initiated by the payee, without any direct involvement of the cardholder, based on a pre-existing agreement between the payer and the </w:t>
            </w:r>
            <w:r w:rsidRPr="00100247">
              <w:rPr>
                <w:rFonts w:ascii="Calibri" w:hAnsi="Calibri"/>
                <w:color w:val="000000"/>
              </w:rPr>
              <w:lastRenderedPageBreak/>
              <w:t>payee (“MIT mandate”) such as subscriptions, payments in several instalments or payment with unknown amount based on consumption.</w:t>
            </w:r>
            <w:r w:rsidR="00D91485">
              <w:rPr>
                <w:rFonts w:ascii="Calibri" w:hAnsi="Calibri"/>
                <w:color w:val="000000"/>
              </w:rPr>
              <w:t xml:space="preserve"> </w:t>
            </w:r>
            <w:r w:rsidR="00644CFD" w:rsidRPr="00644CFD">
              <w:rPr>
                <w:rFonts w:ascii="Calibri" w:hAnsi="Calibri"/>
                <w:color w:val="000000"/>
              </w:rPr>
              <w:t>When payments are</w:t>
            </w:r>
            <w:r w:rsidR="00D91485" w:rsidRPr="00644CFD">
              <w:rPr>
                <w:rFonts w:ascii="Calibri" w:hAnsi="Calibri"/>
                <w:color w:val="000000"/>
              </w:rPr>
              <w:t xml:space="preserve"> both MIT and </w:t>
            </w:r>
            <w:r w:rsidR="000C30E2">
              <w:rPr>
                <w:rFonts w:ascii="Calibri" w:hAnsi="Calibri"/>
                <w:color w:val="000000"/>
              </w:rPr>
              <w:t>o</w:t>
            </w:r>
            <w:r w:rsidR="00D91485" w:rsidRPr="00644CFD">
              <w:rPr>
                <w:rFonts w:ascii="Calibri" w:hAnsi="Calibri"/>
                <w:color w:val="000000"/>
              </w:rPr>
              <w:t>ne leg</w:t>
            </w:r>
            <w:r w:rsidR="00644CFD" w:rsidRPr="00644CFD">
              <w:rPr>
                <w:rFonts w:ascii="Calibri" w:hAnsi="Calibri"/>
                <w:color w:val="000000"/>
              </w:rPr>
              <w:t>, they</w:t>
            </w:r>
            <w:r w:rsidR="00D91485" w:rsidRPr="00644CFD">
              <w:rPr>
                <w:rFonts w:ascii="Calibri" w:hAnsi="Calibri"/>
                <w:color w:val="000000"/>
              </w:rPr>
              <w:t xml:space="preserve"> should be considered as MIT.</w:t>
            </w:r>
          </w:p>
        </w:tc>
      </w:tr>
      <w:tr w:rsidR="00B96481" w:rsidRPr="005B346D" w14:paraId="1D7F3F84"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6EDC6081" w14:textId="3031C51D" w:rsidR="00B96481" w:rsidRPr="001F2BB0" w:rsidRDefault="00B84290" w:rsidP="00861235">
            <w:pPr>
              <w:spacing w:after="0" w:line="240" w:lineRule="auto"/>
              <w:jc w:val="center"/>
              <w:rPr>
                <w:rFonts w:ascii="Calibri" w:hAnsi="Calibri"/>
                <w:color w:val="0070C0"/>
                <w:lang w:val="en-US"/>
              </w:rPr>
            </w:pPr>
            <w:r w:rsidRPr="001F2BB0">
              <w:rPr>
                <w:rFonts w:ascii="Calibri" w:hAnsi="Calibri"/>
                <w:color w:val="0070C0"/>
                <w:lang w:val="en-US"/>
              </w:rPr>
              <w:lastRenderedPageBreak/>
              <w:t>o/w "</w:t>
            </w:r>
            <w:r w:rsidR="000C30E2" w:rsidRPr="001F2BB0">
              <w:rPr>
                <w:rFonts w:ascii="Calibri" w:hAnsi="Calibri"/>
                <w:color w:val="0070C0"/>
                <w:lang w:val="en-US"/>
              </w:rPr>
              <w:t>o</w:t>
            </w:r>
            <w:r w:rsidRPr="001F2BB0">
              <w:rPr>
                <w:rFonts w:ascii="Calibri" w:hAnsi="Calibri"/>
                <w:color w:val="0070C0"/>
                <w:lang w:val="en-US"/>
              </w:rPr>
              <w:t>ne leg"</w:t>
            </w:r>
            <w:r w:rsidR="00861235" w:rsidRPr="001F2BB0">
              <w:rPr>
                <w:rFonts w:ascii="Calibri" w:hAnsi="Calibri"/>
                <w:color w:val="0070C0"/>
                <w:lang w:val="en-US"/>
              </w:rPr>
              <w:t xml:space="preserve"> transactions</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176F2230" w14:textId="6F33A112" w:rsidR="00B96481" w:rsidRPr="00D005C7" w:rsidRDefault="00100247" w:rsidP="00F20BEE">
            <w:pPr>
              <w:spacing w:after="0" w:line="240" w:lineRule="auto"/>
              <w:jc w:val="both"/>
              <w:rPr>
                <w:rFonts w:ascii="Calibri" w:hAnsi="Calibri"/>
                <w:color w:val="000000"/>
                <w:highlight w:val="cyan"/>
              </w:rPr>
            </w:pPr>
            <w:r w:rsidRPr="00100247">
              <w:rPr>
                <w:rFonts w:ascii="Calibri" w:hAnsi="Calibri"/>
                <w:color w:val="000000"/>
              </w:rPr>
              <w:t>Non 3D-Secure payments in which the PSP of the payer or the payee is located outside the European Economic Area (EEA)</w:t>
            </w:r>
            <w:r>
              <w:rPr>
                <w:rFonts w:ascii="Calibri" w:hAnsi="Calibri"/>
                <w:color w:val="000000"/>
              </w:rPr>
              <w:t>.</w:t>
            </w:r>
          </w:p>
        </w:tc>
        <w:bookmarkStart w:id="1" w:name="_GoBack"/>
        <w:bookmarkEnd w:id="1"/>
      </w:tr>
      <w:tr w:rsidR="00B96481" w:rsidRPr="005B346D" w14:paraId="2DE039F5"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0434FAD5" w14:textId="77777777" w:rsidR="00B84290" w:rsidRPr="000718AC" w:rsidRDefault="00B84290" w:rsidP="00B84290">
            <w:pPr>
              <w:spacing w:after="0" w:line="240" w:lineRule="auto"/>
              <w:jc w:val="center"/>
              <w:rPr>
                <w:rFonts w:ascii="Calibri" w:hAnsi="Calibri"/>
                <w:color w:val="0070C0"/>
              </w:rPr>
            </w:pPr>
            <w:r w:rsidRPr="000718AC">
              <w:rPr>
                <w:rFonts w:ascii="Calibri" w:hAnsi="Calibri"/>
                <w:color w:val="0070C0"/>
              </w:rPr>
              <w:t xml:space="preserve">o/w non 3 DS transactions </w:t>
            </w:r>
          </w:p>
          <w:p w14:paraId="427D23A2" w14:textId="1F9094B2" w:rsidR="00B96481" w:rsidRPr="000718AC" w:rsidRDefault="00B84290" w:rsidP="00861235">
            <w:pPr>
              <w:spacing w:after="0" w:line="240" w:lineRule="auto"/>
              <w:jc w:val="center"/>
              <w:rPr>
                <w:rFonts w:ascii="Calibri" w:hAnsi="Calibri"/>
                <w:color w:val="0070C0"/>
              </w:rPr>
            </w:pPr>
            <w:r w:rsidRPr="000718AC">
              <w:rPr>
                <w:rFonts w:ascii="Calibri" w:hAnsi="Calibri"/>
                <w:color w:val="0070C0"/>
              </w:rPr>
              <w:t>and DSP2 compliant</w:t>
            </w:r>
            <w:r w:rsidR="00861235">
              <w:rPr>
                <w:rFonts w:ascii="Calibri" w:hAnsi="Calibri"/>
                <w:color w:val="0070C0"/>
              </w:rPr>
              <w:t xml:space="preserve"> transactions</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55CCD3A5" w14:textId="2178A173" w:rsidR="00B96481" w:rsidRPr="00D005C7" w:rsidRDefault="00100247" w:rsidP="00BA0CBA">
            <w:pPr>
              <w:spacing w:after="0" w:line="240" w:lineRule="auto"/>
              <w:jc w:val="both"/>
              <w:rPr>
                <w:rFonts w:ascii="Calibri" w:hAnsi="Calibri"/>
                <w:color w:val="000000"/>
                <w:highlight w:val="cyan"/>
              </w:rPr>
            </w:pPr>
            <w:r w:rsidRPr="00100247">
              <w:rPr>
                <w:rFonts w:ascii="Calibri" w:hAnsi="Calibri"/>
                <w:color w:val="000000"/>
              </w:rPr>
              <w:t>Payments presenting a predefined PSD2 exemption flag within the authorization flow (e.g  Direct to Authorization – DTA involving an exemption factor)</w:t>
            </w:r>
            <w:r>
              <w:rPr>
                <w:rFonts w:ascii="Calibri" w:hAnsi="Calibri"/>
                <w:color w:val="000000"/>
              </w:rPr>
              <w:t>.</w:t>
            </w:r>
          </w:p>
        </w:tc>
      </w:tr>
      <w:tr w:rsidR="00B96481" w:rsidRPr="00BA0CBA" w14:paraId="759006DC" w14:textId="77777777" w:rsidTr="00525878">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0A0D74D9" w14:textId="77777777" w:rsidR="00B84290" w:rsidRPr="000718AC" w:rsidRDefault="00B84290" w:rsidP="00B84290">
            <w:pPr>
              <w:spacing w:after="0" w:line="240" w:lineRule="auto"/>
              <w:jc w:val="center"/>
              <w:rPr>
                <w:rFonts w:ascii="Calibri" w:hAnsi="Calibri"/>
                <w:color w:val="0070C0"/>
                <w:lang w:val="fr-FR"/>
              </w:rPr>
            </w:pPr>
            <w:r w:rsidRPr="000718AC">
              <w:rPr>
                <w:rFonts w:ascii="Calibri" w:hAnsi="Calibri"/>
                <w:color w:val="0070C0"/>
                <w:lang w:val="fr-FR"/>
              </w:rPr>
              <w:t xml:space="preserve">o/w non 3 DS transactions </w:t>
            </w:r>
          </w:p>
          <w:p w14:paraId="4626C01E" w14:textId="1B83ED8E" w:rsidR="00B96481" w:rsidRPr="000718AC" w:rsidRDefault="00B84290" w:rsidP="00861235">
            <w:pPr>
              <w:spacing w:after="0" w:line="240" w:lineRule="auto"/>
              <w:jc w:val="center"/>
              <w:rPr>
                <w:rFonts w:ascii="Calibri" w:hAnsi="Calibri"/>
                <w:color w:val="0070C0"/>
                <w:lang w:val="fr-FR"/>
              </w:rPr>
            </w:pPr>
            <w:r w:rsidRPr="000718AC">
              <w:rPr>
                <w:rFonts w:ascii="Calibri" w:hAnsi="Calibri"/>
                <w:color w:val="0070C0"/>
                <w:lang w:val="fr-FR"/>
              </w:rPr>
              <w:t>and DSP2 non-compliant</w:t>
            </w:r>
            <w:r w:rsidR="00861235">
              <w:rPr>
                <w:rFonts w:ascii="Calibri" w:hAnsi="Calibri"/>
                <w:color w:val="0070C0"/>
                <w:lang w:val="fr-FR"/>
              </w:rPr>
              <w:t xml:space="preserve"> transactions </w:t>
            </w:r>
          </w:p>
        </w:tc>
        <w:tc>
          <w:tcPr>
            <w:tcW w:w="6804" w:type="dxa"/>
            <w:tcBorders>
              <w:top w:val="single" w:sz="12" w:space="0" w:color="0070C0"/>
              <w:left w:val="nil"/>
              <w:bottom w:val="single" w:sz="4" w:space="0" w:color="0070C0"/>
              <w:right w:val="single" w:sz="12" w:space="0" w:color="0070C0"/>
            </w:tcBorders>
            <w:shd w:val="clear" w:color="auto" w:fill="auto"/>
            <w:vAlign w:val="center"/>
          </w:tcPr>
          <w:p w14:paraId="57A5252D" w14:textId="0AF27217" w:rsidR="00B96481" w:rsidRPr="00BA0CBA" w:rsidRDefault="00100247" w:rsidP="00E01BC1">
            <w:pPr>
              <w:spacing w:after="0" w:line="240" w:lineRule="auto"/>
              <w:rPr>
                <w:rFonts w:ascii="Calibri" w:hAnsi="Calibri"/>
                <w:color w:val="000000"/>
                <w:highlight w:val="cyan"/>
                <w:lang w:val="en-US"/>
              </w:rPr>
            </w:pPr>
            <w:r w:rsidRPr="00100247">
              <w:rPr>
                <w:rFonts w:ascii="Calibri" w:hAnsi="Calibri"/>
                <w:color w:val="000000"/>
                <w:lang w:val="en-US"/>
              </w:rPr>
              <w:t>Non 3D-Secure Payments that are within the scope of the PSD2 but that do not present any PSD2 exemption flag and for which the authorization is granted.</w:t>
            </w:r>
            <w:r w:rsidR="00D91485">
              <w:rPr>
                <w:rFonts w:ascii="Calibri" w:hAnsi="Calibri"/>
                <w:color w:val="000000"/>
                <w:lang w:val="en-US"/>
              </w:rPr>
              <w:t xml:space="preserve"> </w:t>
            </w:r>
            <w:r w:rsidR="00106791" w:rsidRPr="00861235">
              <w:rPr>
                <w:rFonts w:ascii="Calibri" w:hAnsi="Calibri"/>
                <w:color w:val="000000"/>
                <w:lang w:val="en-US"/>
              </w:rPr>
              <w:t>That category includes p</w:t>
            </w:r>
            <w:r w:rsidR="00D91485" w:rsidRPr="00861235">
              <w:rPr>
                <w:rFonts w:ascii="Calibri" w:hAnsi="Calibri"/>
                <w:color w:val="000000"/>
                <w:lang w:val="en-US"/>
              </w:rPr>
              <w:t>ayments that involve both a European payee and a non-EEE acquirer.</w:t>
            </w:r>
            <w:r w:rsidR="000C30E2">
              <w:rPr>
                <w:rFonts w:ascii="Calibri" w:hAnsi="Calibri"/>
                <w:color w:val="000000"/>
                <w:lang w:val="en-US"/>
              </w:rPr>
              <w:t xml:space="preserve"> In the case of a “one leg” and </w:t>
            </w:r>
            <w:r w:rsidR="008B7231">
              <w:rPr>
                <w:rFonts w:ascii="Calibri" w:hAnsi="Calibri"/>
                <w:color w:val="000000"/>
                <w:lang w:val="en-US"/>
              </w:rPr>
              <w:t>“</w:t>
            </w:r>
            <w:r w:rsidR="000C30E2" w:rsidRPr="00007347">
              <w:rPr>
                <w:rFonts w:ascii="Calibri" w:hAnsi="Calibri"/>
                <w:color w:val="000000"/>
                <w:lang w:val="en-US"/>
              </w:rPr>
              <w:t>non 3 D</w:t>
            </w:r>
            <w:r w:rsidR="000C30E2">
              <w:rPr>
                <w:rFonts w:ascii="Calibri" w:hAnsi="Calibri"/>
                <w:color w:val="000000"/>
                <w:lang w:val="en-US"/>
              </w:rPr>
              <w:t xml:space="preserve">S </w:t>
            </w:r>
            <w:r w:rsidR="000C30E2" w:rsidRPr="00E01BC1">
              <w:rPr>
                <w:rFonts w:ascii="Calibri" w:hAnsi="Calibri"/>
                <w:color w:val="000000"/>
                <w:lang w:val="en-US"/>
              </w:rPr>
              <w:t xml:space="preserve">transactions and DSP2 </w:t>
            </w:r>
            <w:r w:rsidR="000C30E2">
              <w:rPr>
                <w:rFonts w:ascii="Calibri" w:hAnsi="Calibri"/>
                <w:color w:val="000000"/>
                <w:lang w:val="en-US"/>
              </w:rPr>
              <w:t>non-</w:t>
            </w:r>
            <w:r w:rsidR="000C30E2" w:rsidRPr="00E01BC1">
              <w:rPr>
                <w:rFonts w:ascii="Calibri" w:hAnsi="Calibri"/>
                <w:color w:val="000000"/>
                <w:lang w:val="en-US"/>
              </w:rPr>
              <w:t xml:space="preserve">compliant </w:t>
            </w:r>
            <w:r w:rsidR="000C30E2">
              <w:rPr>
                <w:rFonts w:ascii="Calibri" w:hAnsi="Calibri"/>
                <w:color w:val="000000"/>
                <w:lang w:val="en-US"/>
              </w:rPr>
              <w:t>transactions</w:t>
            </w:r>
            <w:r w:rsidR="008B7231">
              <w:rPr>
                <w:rFonts w:ascii="Calibri" w:hAnsi="Calibri"/>
                <w:color w:val="000000"/>
                <w:lang w:val="en-US"/>
              </w:rPr>
              <w:t>”</w:t>
            </w:r>
            <w:r w:rsidR="000C30E2">
              <w:rPr>
                <w:rFonts w:ascii="Calibri" w:hAnsi="Calibri"/>
                <w:color w:val="000000"/>
                <w:lang w:val="en-US"/>
              </w:rPr>
              <w:t>, the transaction ha</w:t>
            </w:r>
            <w:r w:rsidR="008B7231">
              <w:rPr>
                <w:rFonts w:ascii="Calibri" w:hAnsi="Calibri"/>
                <w:color w:val="000000"/>
                <w:lang w:val="en-US"/>
              </w:rPr>
              <w:t>s</w:t>
            </w:r>
            <w:r w:rsidR="000C30E2">
              <w:rPr>
                <w:rFonts w:ascii="Calibri" w:hAnsi="Calibri"/>
                <w:color w:val="000000"/>
                <w:lang w:val="en-US"/>
              </w:rPr>
              <w:t xml:space="preserve"> to be classified as a “one leg”</w:t>
            </w:r>
            <w:r w:rsidR="008B7231">
              <w:rPr>
                <w:rFonts w:ascii="Calibri" w:hAnsi="Calibri"/>
                <w:color w:val="000000"/>
                <w:lang w:val="en-US"/>
              </w:rPr>
              <w:t xml:space="preserve"> transaction</w:t>
            </w:r>
            <w:r w:rsidR="0073311D">
              <w:rPr>
                <w:rFonts w:ascii="Calibri" w:hAnsi="Calibri"/>
                <w:color w:val="000000"/>
                <w:lang w:val="en-US"/>
              </w:rPr>
              <w:t>.</w:t>
            </w:r>
          </w:p>
        </w:tc>
      </w:tr>
      <w:tr w:rsidR="0078544F" w:rsidRPr="005B346D" w14:paraId="1968CF07" w14:textId="77777777" w:rsidTr="001A38A3">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2CD5766" w14:textId="77777777" w:rsidR="0078544F" w:rsidRPr="00E01BC1" w:rsidRDefault="0078544F" w:rsidP="007E4607">
            <w:pPr>
              <w:spacing w:after="0" w:line="240" w:lineRule="auto"/>
              <w:jc w:val="center"/>
              <w:rPr>
                <w:rFonts w:ascii="Calibri" w:eastAsia="Times New Roman" w:hAnsi="Calibri" w:cs="Times New Roman"/>
                <w:b/>
                <w:color w:val="0070C0"/>
              </w:rPr>
            </w:pPr>
            <w:r w:rsidRPr="00E01BC1">
              <w:rPr>
                <w:rFonts w:ascii="Calibri" w:hAnsi="Calibri"/>
                <w:b/>
                <w:color w:val="0070C0"/>
              </w:rPr>
              <w:t>Withdrawals</w:t>
            </w:r>
          </w:p>
        </w:tc>
        <w:tc>
          <w:tcPr>
            <w:tcW w:w="6804" w:type="dxa"/>
            <w:tcBorders>
              <w:top w:val="single" w:sz="12" w:space="0" w:color="0070C0"/>
              <w:left w:val="nil"/>
              <w:bottom w:val="single" w:sz="12" w:space="0" w:color="0070C0"/>
              <w:right w:val="single" w:sz="12" w:space="0" w:color="0070C0"/>
            </w:tcBorders>
            <w:shd w:val="clear" w:color="auto" w:fill="auto"/>
            <w:vAlign w:val="center"/>
          </w:tcPr>
          <w:p w14:paraId="5A9ECE9A" w14:textId="77777777" w:rsidR="0078544F" w:rsidRPr="005B346D" w:rsidRDefault="0078544F" w:rsidP="007E4607">
            <w:pPr>
              <w:spacing w:after="0" w:line="240" w:lineRule="auto"/>
              <w:jc w:val="both"/>
              <w:rPr>
                <w:rFonts w:ascii="Calibri" w:eastAsia="Times New Roman" w:hAnsi="Calibri" w:cs="Times New Roman"/>
                <w:color w:val="000000"/>
              </w:rPr>
            </w:pPr>
            <w:r>
              <w:rPr>
                <w:rFonts w:ascii="Calibri" w:hAnsi="Calibri"/>
                <w:color w:val="000000"/>
              </w:rPr>
              <w:t>Cash withdrawals at ATMs.</w:t>
            </w:r>
          </w:p>
        </w:tc>
      </w:tr>
    </w:tbl>
    <w:p w14:paraId="64DAF44A" w14:textId="77777777" w:rsidR="009F6546" w:rsidRDefault="009F6546"/>
    <w:p w14:paraId="7E9AC6F2" w14:textId="77777777" w:rsidR="001752B5" w:rsidRDefault="001752B5">
      <w:pPr>
        <w:rPr>
          <w:rFonts w:cs="Cambria,Bold"/>
          <w:b/>
          <w:bCs/>
          <w:color w:val="548DD4" w:themeColor="text2" w:themeTint="99"/>
        </w:rPr>
      </w:pPr>
      <w:r>
        <w:br w:type="page"/>
      </w:r>
    </w:p>
    <w:p w14:paraId="3EDAB64A" w14:textId="6522AEDA" w:rsidR="00164C87" w:rsidRDefault="00F439B7" w:rsidP="00164C87">
      <w:pPr>
        <w:pStyle w:val="Paragraphedeliste"/>
        <w:numPr>
          <w:ilvl w:val="0"/>
          <w:numId w:val="12"/>
        </w:numPr>
        <w:ind w:left="284" w:hanging="284"/>
      </w:pPr>
      <w:r>
        <w:rPr>
          <w:b/>
          <w:bCs/>
          <w:color w:val="548DD4" w:themeColor="text2" w:themeTint="99"/>
        </w:rPr>
        <w:lastRenderedPageBreak/>
        <w:t>Card type:</w:t>
      </w:r>
    </w:p>
    <w:tbl>
      <w:tblPr>
        <w:tblW w:w="9229" w:type="dxa"/>
        <w:tblInd w:w="55" w:type="dxa"/>
        <w:tblCellMar>
          <w:left w:w="70" w:type="dxa"/>
          <w:right w:w="70" w:type="dxa"/>
        </w:tblCellMar>
        <w:tblLook w:val="04A0" w:firstRow="1" w:lastRow="0" w:firstColumn="1" w:lastColumn="0" w:noHBand="0" w:noVBand="1"/>
      </w:tblPr>
      <w:tblGrid>
        <w:gridCol w:w="2425"/>
        <w:gridCol w:w="6804"/>
      </w:tblGrid>
      <w:tr w:rsidR="00164C87" w:rsidRPr="005B346D" w14:paraId="5AAA060D" w14:textId="77777777" w:rsidTr="001A38A3">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679014F0" w14:textId="77777777" w:rsidR="00164C87" w:rsidRDefault="00164C87" w:rsidP="007E4607">
            <w:pPr>
              <w:spacing w:after="0" w:line="240" w:lineRule="auto"/>
              <w:jc w:val="center"/>
              <w:rPr>
                <w:rFonts w:ascii="Calibri" w:eastAsia="Times New Roman" w:hAnsi="Calibri" w:cs="Times New Roman"/>
                <w:color w:val="0070C0"/>
              </w:rPr>
            </w:pPr>
            <w:r>
              <w:rPr>
                <w:rFonts w:ascii="Calibri" w:hAnsi="Calibri"/>
                <w:color w:val="0070C0"/>
              </w:rPr>
              <w:t>Debit card</w:t>
            </w:r>
          </w:p>
        </w:tc>
        <w:tc>
          <w:tcPr>
            <w:tcW w:w="6804" w:type="dxa"/>
            <w:tcBorders>
              <w:top w:val="single" w:sz="12" w:space="0" w:color="0070C0"/>
              <w:left w:val="nil"/>
              <w:bottom w:val="single" w:sz="12" w:space="0" w:color="0070C0"/>
              <w:right w:val="single" w:sz="12" w:space="0" w:color="0070C0"/>
            </w:tcBorders>
            <w:shd w:val="clear" w:color="auto" w:fill="auto"/>
            <w:vAlign w:val="center"/>
          </w:tcPr>
          <w:p w14:paraId="1D803626" w14:textId="120F8FD6" w:rsidR="00164C87" w:rsidRPr="005B346D" w:rsidRDefault="00164C87" w:rsidP="00007347">
            <w:pPr>
              <w:spacing w:after="0" w:line="240" w:lineRule="auto"/>
              <w:jc w:val="both"/>
              <w:rPr>
                <w:rFonts w:ascii="Calibri" w:eastAsia="Times New Roman" w:hAnsi="Calibri" w:cs="Times New Roman"/>
                <w:color w:val="000000"/>
              </w:rPr>
            </w:pPr>
            <w:r>
              <w:rPr>
                <w:rFonts w:ascii="Calibri" w:hAnsi="Calibri"/>
                <w:color w:val="000000"/>
              </w:rPr>
              <w:t>Immediate debit cards.</w:t>
            </w:r>
          </w:p>
        </w:tc>
      </w:tr>
      <w:tr w:rsidR="00164C87" w:rsidRPr="005B346D" w14:paraId="7C6F2381" w14:textId="77777777" w:rsidTr="001A38A3">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7B70E0B" w14:textId="77777777" w:rsidR="00164C87" w:rsidRDefault="00164C87" w:rsidP="007E4607">
            <w:pPr>
              <w:spacing w:after="0" w:line="240" w:lineRule="auto"/>
              <w:jc w:val="center"/>
              <w:rPr>
                <w:rFonts w:ascii="Calibri" w:eastAsia="Times New Roman" w:hAnsi="Calibri" w:cs="Times New Roman"/>
                <w:color w:val="0070C0"/>
              </w:rPr>
            </w:pPr>
            <w:r>
              <w:rPr>
                <w:rFonts w:ascii="Calibri" w:hAnsi="Calibri"/>
                <w:color w:val="0070C0"/>
              </w:rPr>
              <w:t>Credit card</w:t>
            </w:r>
          </w:p>
        </w:tc>
        <w:tc>
          <w:tcPr>
            <w:tcW w:w="6804" w:type="dxa"/>
            <w:tcBorders>
              <w:top w:val="single" w:sz="12" w:space="0" w:color="0070C0"/>
              <w:left w:val="nil"/>
              <w:bottom w:val="single" w:sz="12" w:space="0" w:color="0070C0"/>
              <w:right w:val="single" w:sz="12" w:space="0" w:color="0070C0"/>
            </w:tcBorders>
            <w:shd w:val="clear" w:color="auto" w:fill="auto"/>
            <w:vAlign w:val="center"/>
          </w:tcPr>
          <w:p w14:paraId="54A2965C" w14:textId="77777777" w:rsidR="00164C87" w:rsidRPr="005B346D" w:rsidRDefault="00164C87" w:rsidP="007E4607">
            <w:pPr>
              <w:spacing w:after="0" w:line="240" w:lineRule="auto"/>
              <w:jc w:val="both"/>
              <w:rPr>
                <w:rFonts w:ascii="Calibri" w:eastAsia="Times New Roman" w:hAnsi="Calibri" w:cs="Times New Roman"/>
                <w:color w:val="000000"/>
              </w:rPr>
            </w:pPr>
            <w:r>
              <w:rPr>
                <w:rFonts w:ascii="Calibri" w:hAnsi="Calibri"/>
                <w:color w:val="000000"/>
              </w:rPr>
              <w:t>Credit cards and deferred debit cards.</w:t>
            </w:r>
          </w:p>
        </w:tc>
      </w:tr>
    </w:tbl>
    <w:p w14:paraId="3AB56B50" w14:textId="77777777" w:rsidR="0080288C" w:rsidRDefault="0080288C" w:rsidP="00007D92">
      <w:pPr>
        <w:jc w:val="both"/>
        <w:rPr>
          <w:u w:val="single"/>
        </w:rPr>
      </w:pPr>
    </w:p>
    <w:p w14:paraId="530A9711" w14:textId="468A1787" w:rsidR="00007D92" w:rsidRPr="00007D92" w:rsidRDefault="00007D92" w:rsidP="00007D92">
      <w:pPr>
        <w:jc w:val="both"/>
      </w:pPr>
      <w:r>
        <w:rPr>
          <w:u w:val="single"/>
        </w:rPr>
        <w:t>Note</w:t>
      </w:r>
      <w:r>
        <w:t>: in the case of commercial cards, if the institution cannot ascertain the function of the card, it should be categorised as a credit card by default.</w:t>
      </w:r>
    </w:p>
    <w:p w14:paraId="20E18A34" w14:textId="77777777" w:rsidR="00760780" w:rsidRDefault="00760780" w:rsidP="004732ED">
      <w:pPr>
        <w:pStyle w:val="Paragraphedeliste"/>
        <w:numPr>
          <w:ilvl w:val="0"/>
          <w:numId w:val="12"/>
        </w:numPr>
        <w:ind w:left="284" w:hanging="284"/>
        <w:jc w:val="both"/>
        <w:rPr>
          <w:rFonts w:cs="Cambria,Bold"/>
          <w:b/>
          <w:bCs/>
          <w:color w:val="548DD4" w:themeColor="text2" w:themeTint="99"/>
        </w:rPr>
      </w:pPr>
      <w:r>
        <w:rPr>
          <w:b/>
          <w:bCs/>
          <w:color w:val="548DD4" w:themeColor="text2" w:themeTint="99"/>
        </w:rPr>
        <w:t xml:space="preserve">Specific rules to avoid double counting or omissions applicable to institutions that issue co-badged cards (CB-Mastercard or CB-Visa): </w:t>
      </w:r>
    </w:p>
    <w:p w14:paraId="077F9FFF" w14:textId="77777777" w:rsidR="00760780" w:rsidRDefault="00760780" w:rsidP="00760780">
      <w:pPr>
        <w:pStyle w:val="Paragraphedeliste"/>
        <w:ind w:left="284"/>
        <w:rPr>
          <w:rFonts w:cs="Cambria,Bold"/>
          <w:b/>
          <w:bCs/>
          <w:color w:val="548DD4" w:themeColor="text2" w:themeTint="99"/>
        </w:rPr>
      </w:pPr>
    </w:p>
    <w:p w14:paraId="4629A878" w14:textId="77777777" w:rsidR="00760780" w:rsidRDefault="00760780" w:rsidP="00760780">
      <w:pPr>
        <w:pStyle w:val="Paragraphedeliste"/>
        <w:numPr>
          <w:ilvl w:val="0"/>
          <w:numId w:val="12"/>
        </w:numPr>
        <w:jc w:val="both"/>
      </w:pPr>
      <w:r>
        <w:rPr>
          <w:b/>
          <w:u w:val="single"/>
        </w:rPr>
        <w:t>GIE-CB</w:t>
      </w:r>
      <w:r>
        <w:t>: declaration of transactions processed by the “CB” system only (irrespective of whether the card used is “CB only” or co-badged);</w:t>
      </w:r>
    </w:p>
    <w:p w14:paraId="4730CB3A" w14:textId="77777777" w:rsidR="00760780" w:rsidRDefault="00760780" w:rsidP="00760780">
      <w:pPr>
        <w:pStyle w:val="Paragraphedeliste"/>
      </w:pPr>
    </w:p>
    <w:p w14:paraId="35F13C6C" w14:textId="52B7D71C" w:rsidR="00760780" w:rsidRDefault="00760780" w:rsidP="00760780">
      <w:pPr>
        <w:pStyle w:val="Paragraphedeliste"/>
        <w:numPr>
          <w:ilvl w:val="0"/>
          <w:numId w:val="12"/>
        </w:numPr>
        <w:jc w:val="both"/>
      </w:pPr>
      <w:r>
        <w:rPr>
          <w:b/>
          <w:u w:val="single"/>
        </w:rPr>
        <w:t>Mastercard and Visa</w:t>
      </w:r>
      <w:r>
        <w:t>: declaration of transactions processed</w:t>
      </w:r>
      <w:r w:rsidR="00F128C9">
        <w:rPr>
          <w:rStyle w:val="Appelnotedebasdep"/>
        </w:rPr>
        <w:footnoteReference w:id="1"/>
      </w:r>
      <w:r>
        <w:t xml:space="preserve"> by the Mastercard system or Visa system only (irrespective of whether the card used is “Mastercard o</w:t>
      </w:r>
      <w:r w:rsidR="00B812BF">
        <w:t>nly”, “Visa only” or co-badged).</w:t>
      </w:r>
    </w:p>
    <w:p w14:paraId="6EC97779" w14:textId="77777777" w:rsidR="001752B5" w:rsidRDefault="001752B5">
      <w:pPr>
        <w:rPr>
          <w:rFonts w:cs="Cambria,Bold"/>
          <w:b/>
          <w:bCs/>
          <w:color w:val="548DD4" w:themeColor="text2" w:themeTint="99"/>
          <w:sz w:val="24"/>
          <w:szCs w:val="24"/>
          <w:u w:val="single"/>
        </w:rPr>
      </w:pPr>
      <w:r>
        <w:br w:type="page"/>
      </w:r>
    </w:p>
    <w:p w14:paraId="77D97309" w14:textId="1D0C959F" w:rsidR="00B346A8" w:rsidRPr="00E01BC1" w:rsidRDefault="007E4607" w:rsidP="0054268E">
      <w:pPr>
        <w:rPr>
          <w:lang w:val="en-US"/>
        </w:rPr>
      </w:pPr>
      <w:r w:rsidRPr="00B00CE7">
        <w:rPr>
          <w:b/>
          <w:bCs/>
          <w:color w:val="548DD4" w:themeColor="text2" w:themeTint="99"/>
          <w:sz w:val="24"/>
          <w:szCs w:val="24"/>
          <w:u w:val="single"/>
        </w:rPr>
        <w:lastRenderedPageBreak/>
        <w:t xml:space="preserve">Sections 2.a.1 to 2.d.1 – </w:t>
      </w:r>
      <w:r w:rsidRPr="00DF475B">
        <w:rPr>
          <w:b/>
          <w:bCs/>
          <w:color w:val="548DD4" w:themeColor="text2" w:themeTint="99"/>
          <w:sz w:val="24"/>
          <w:szCs w:val="24"/>
          <w:u w:val="single"/>
        </w:rPr>
        <w:t>Breakdown of fraud</w:t>
      </w:r>
      <w:r w:rsidR="00007347" w:rsidRPr="00E01BC1">
        <w:rPr>
          <w:noProof/>
          <w:lang w:val="en-US" w:eastAsia="fr-FR"/>
        </w:rPr>
        <w:t xml:space="preserve"> </w:t>
      </w:r>
    </w:p>
    <w:p w14:paraId="338D936E" w14:textId="1204B0E3" w:rsidR="00B346A8" w:rsidRDefault="008B7231" w:rsidP="00E01BC1">
      <w:r>
        <w:rPr>
          <w:noProof/>
          <w:lang w:val="fr-FR" w:eastAsia="fr-FR"/>
        </w:rPr>
        <w:drawing>
          <wp:inline distT="0" distB="0" distL="0" distR="0" wp14:anchorId="5902BE91" wp14:editId="3D6F72E4">
            <wp:extent cx="5851525" cy="69786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51525" cy="6978650"/>
                    </a:xfrm>
                    <a:prstGeom prst="rect">
                      <a:avLst/>
                    </a:prstGeom>
                  </pic:spPr>
                </pic:pic>
              </a:graphicData>
            </a:graphic>
          </wp:inline>
        </w:drawing>
      </w:r>
    </w:p>
    <w:p w14:paraId="213540C2" w14:textId="77777777" w:rsidR="001752B5" w:rsidRDefault="001752B5">
      <w:pPr>
        <w:rPr>
          <w:rFonts w:cs="Cambria,Bold"/>
          <w:b/>
          <w:bCs/>
          <w:color w:val="548DD4" w:themeColor="text2" w:themeTint="99"/>
        </w:rPr>
      </w:pPr>
      <w:r>
        <w:br w:type="page"/>
      </w:r>
    </w:p>
    <w:p w14:paraId="00F0CACD" w14:textId="358A99A6" w:rsidR="00B53123" w:rsidRDefault="00B53123" w:rsidP="00B53123">
      <w:pPr>
        <w:pStyle w:val="Paragraphedeliste"/>
        <w:numPr>
          <w:ilvl w:val="0"/>
          <w:numId w:val="12"/>
        </w:numPr>
        <w:ind w:left="284" w:hanging="284"/>
      </w:pPr>
      <w:r>
        <w:rPr>
          <w:b/>
          <w:bCs/>
          <w:color w:val="548DD4" w:themeColor="text2" w:themeTint="99"/>
        </w:rPr>
        <w:lastRenderedPageBreak/>
        <w:t>Source of fraud:</w:t>
      </w:r>
    </w:p>
    <w:tbl>
      <w:tblPr>
        <w:tblW w:w="9087" w:type="dxa"/>
        <w:tblInd w:w="55" w:type="dxa"/>
        <w:tblCellMar>
          <w:left w:w="70" w:type="dxa"/>
          <w:right w:w="70" w:type="dxa"/>
        </w:tblCellMar>
        <w:tblLook w:val="04A0" w:firstRow="1" w:lastRow="0" w:firstColumn="1" w:lastColumn="0" w:noHBand="0" w:noVBand="1"/>
      </w:tblPr>
      <w:tblGrid>
        <w:gridCol w:w="2425"/>
        <w:gridCol w:w="6662"/>
      </w:tblGrid>
      <w:tr w:rsidR="00B670C2" w:rsidRPr="005B346D" w14:paraId="35A5BDB5" w14:textId="77777777" w:rsidTr="00C90372">
        <w:trPr>
          <w:cantSplit/>
          <w:trHeight w:val="750"/>
        </w:trPr>
        <w:tc>
          <w:tcPr>
            <w:tcW w:w="2425" w:type="dxa"/>
            <w:tcBorders>
              <w:top w:val="single" w:sz="12" w:space="0" w:color="0070C0"/>
              <w:left w:val="single" w:sz="12" w:space="0" w:color="0070C0"/>
              <w:bottom w:val="single" w:sz="4" w:space="0" w:color="0070C0"/>
              <w:right w:val="single" w:sz="12" w:space="0" w:color="0070C0"/>
            </w:tcBorders>
            <w:shd w:val="clear" w:color="auto" w:fill="auto"/>
            <w:vAlign w:val="center"/>
            <w:hideMark/>
          </w:tcPr>
          <w:p w14:paraId="30A0BA65" w14:textId="77777777" w:rsidR="00B670C2" w:rsidRPr="005B346D" w:rsidRDefault="00B670C2" w:rsidP="007E4607">
            <w:pPr>
              <w:spacing w:after="0" w:line="240" w:lineRule="auto"/>
              <w:jc w:val="center"/>
              <w:rPr>
                <w:rFonts w:ascii="Calibri" w:eastAsia="Times New Roman" w:hAnsi="Calibri" w:cs="Times New Roman"/>
                <w:color w:val="0070C0"/>
              </w:rPr>
            </w:pPr>
            <w:r>
              <w:rPr>
                <w:rFonts w:ascii="Calibri" w:hAnsi="Calibri"/>
                <w:color w:val="0070C0"/>
              </w:rPr>
              <w:t>Lost or stolen cards</w:t>
            </w:r>
          </w:p>
        </w:tc>
        <w:tc>
          <w:tcPr>
            <w:tcW w:w="6662" w:type="dxa"/>
            <w:tcBorders>
              <w:top w:val="single" w:sz="12" w:space="0" w:color="0070C0"/>
              <w:left w:val="nil"/>
              <w:bottom w:val="single" w:sz="4" w:space="0" w:color="0070C0"/>
              <w:right w:val="single" w:sz="12" w:space="0" w:color="0070C0"/>
            </w:tcBorders>
            <w:shd w:val="clear" w:color="auto" w:fill="auto"/>
            <w:vAlign w:val="center"/>
          </w:tcPr>
          <w:p w14:paraId="211B76B5" w14:textId="77777777" w:rsidR="00B670C2" w:rsidRPr="005B346D" w:rsidRDefault="005A36C1" w:rsidP="00532246">
            <w:pPr>
              <w:spacing w:after="0" w:line="240" w:lineRule="auto"/>
              <w:jc w:val="both"/>
              <w:rPr>
                <w:rFonts w:ascii="Calibri" w:eastAsia="Times New Roman" w:hAnsi="Calibri" w:cs="Times New Roman"/>
                <w:color w:val="000000"/>
              </w:rPr>
            </w:pPr>
            <w:r>
              <w:t>The fraudster uses a lost or stolen credit card, without the lawful cardholder’s knowledge.</w:t>
            </w:r>
          </w:p>
        </w:tc>
      </w:tr>
      <w:tr w:rsidR="00B670C2" w:rsidRPr="005B346D" w14:paraId="11A46374" w14:textId="77777777" w:rsidTr="00C90372">
        <w:trPr>
          <w:cantSplit/>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326B9093" w14:textId="77777777" w:rsidR="00B670C2" w:rsidRDefault="00B670C2" w:rsidP="007E4607">
            <w:pPr>
              <w:spacing w:after="0" w:line="240" w:lineRule="auto"/>
              <w:jc w:val="center"/>
              <w:rPr>
                <w:rFonts w:ascii="Calibri" w:eastAsia="Times New Roman" w:hAnsi="Calibri" w:cs="Times New Roman"/>
                <w:color w:val="0070C0"/>
              </w:rPr>
            </w:pPr>
            <w:r>
              <w:rPr>
                <w:rFonts w:ascii="Calibri" w:hAnsi="Calibri"/>
                <w:color w:val="0070C0"/>
              </w:rPr>
              <w:t>Intercepted cards</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63962207" w14:textId="77777777" w:rsidR="00B670C2" w:rsidRPr="005B346D" w:rsidRDefault="005A36C1" w:rsidP="007E4607">
            <w:pPr>
              <w:spacing w:after="0" w:line="240" w:lineRule="auto"/>
              <w:jc w:val="both"/>
              <w:rPr>
                <w:rFonts w:ascii="Calibri" w:eastAsia="Times New Roman" w:hAnsi="Calibri" w:cs="Times New Roman"/>
                <w:color w:val="000000"/>
              </w:rPr>
            </w:pPr>
            <w:r>
              <w:rPr>
                <w:color w:val="000000"/>
              </w:rPr>
              <w:t>The card is intercepted when the issuer sends it to the lawful cardholder. This type of fraud is similar to card loss or theft except that it is difficult for the lawful cardholders to ascertain that a fraudster is in possession of a card that belongs to them. In such cases, the fraudster seeks to exploit vulnerabilities in the procedures used to send cards.</w:t>
            </w:r>
          </w:p>
        </w:tc>
      </w:tr>
      <w:tr w:rsidR="00B670C2" w:rsidRPr="005B346D" w14:paraId="30F7AC69" w14:textId="77777777" w:rsidTr="00C90372">
        <w:trPr>
          <w:cantSplit/>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6A8804BF" w14:textId="77883FB7" w:rsidR="00B670C2" w:rsidRDefault="00B670C2" w:rsidP="00D34BCC">
            <w:pPr>
              <w:spacing w:after="0" w:line="240" w:lineRule="auto"/>
              <w:jc w:val="center"/>
              <w:rPr>
                <w:rFonts w:ascii="Calibri" w:eastAsia="Times New Roman" w:hAnsi="Calibri" w:cs="Times New Roman"/>
                <w:color w:val="0070C0"/>
              </w:rPr>
            </w:pPr>
            <w:r>
              <w:rPr>
                <w:rFonts w:ascii="Calibri" w:hAnsi="Calibri"/>
                <w:color w:val="0070C0"/>
              </w:rPr>
              <w:t>Forged or counterfeit cards</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7F2B08A5" w14:textId="77777777" w:rsidR="00B670C2" w:rsidRDefault="005A36C1" w:rsidP="007E4607">
            <w:pPr>
              <w:spacing w:after="0" w:line="240" w:lineRule="auto"/>
              <w:jc w:val="both"/>
              <w:rPr>
                <w:rFonts w:ascii="Calibri" w:eastAsia="Times New Roman" w:hAnsi="Calibri" w:cs="Times New Roman"/>
                <w:color w:val="000000"/>
              </w:rPr>
            </w:pPr>
            <w:r>
              <w:rPr>
                <w:color w:val="000000"/>
              </w:rPr>
              <w:t>Falsification of a payment card consists in modifying an authentic card’s magnetic strip data, embossing</w:t>
            </w:r>
            <w:r w:rsidRPr="005A36C1">
              <w:rPr>
                <w:rFonts w:cstheme="minorHAnsi"/>
                <w:color w:val="000000"/>
                <w:vertAlign w:val="superscript"/>
              </w:rPr>
              <w:footnoteReference w:id="2"/>
            </w:r>
            <w:r>
              <w:rPr>
                <w:color w:val="000000"/>
              </w:rPr>
              <w:t xml:space="preserve"> or programming. Counterfeiting a card means creating an object that appears to be an authentic payment card and/or is capable of deceiving an unattended payment terminal (UPT) or a merchant’s payment terminal. In both cases, the fraudster endeavours to create a card that incorporates the data required to deceive the acceptance system.</w:t>
            </w:r>
          </w:p>
        </w:tc>
      </w:tr>
      <w:tr w:rsidR="00B670C2" w:rsidRPr="005B346D" w14:paraId="66063A1A" w14:textId="77777777" w:rsidTr="00C90372">
        <w:trPr>
          <w:cantSplit/>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289E0566" w14:textId="77777777" w:rsidR="00B670C2" w:rsidRDefault="00B670C2" w:rsidP="007E4607">
            <w:pPr>
              <w:spacing w:after="0" w:line="240" w:lineRule="auto"/>
              <w:jc w:val="center"/>
              <w:rPr>
                <w:rFonts w:ascii="Calibri" w:eastAsia="Times New Roman" w:hAnsi="Calibri" w:cs="Times New Roman"/>
                <w:color w:val="0070C0"/>
              </w:rPr>
            </w:pPr>
            <w:r>
              <w:rPr>
                <w:rFonts w:ascii="Calibri" w:hAnsi="Calibri"/>
                <w:color w:val="0070C0"/>
              </w:rPr>
              <w:t>Misappropriated card numbers</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5141D7F2" w14:textId="159230A6" w:rsidR="00B670C2" w:rsidRDefault="005A36C1" w:rsidP="007E4607">
            <w:pPr>
              <w:spacing w:after="0" w:line="240" w:lineRule="auto"/>
              <w:jc w:val="both"/>
              <w:rPr>
                <w:rFonts w:ascii="Calibri" w:eastAsia="Times New Roman" w:hAnsi="Calibri" w:cs="Times New Roman"/>
                <w:color w:val="000000"/>
              </w:rPr>
            </w:pPr>
            <w:r>
              <w:rPr>
                <w:color w:val="000000"/>
              </w:rPr>
              <w:t>A cardholder’s card number is taken without his or her knowledge or created through card number generation</w:t>
            </w:r>
            <w:r w:rsidR="00B812BF">
              <w:rPr>
                <w:color w:val="000000"/>
              </w:rPr>
              <w:t>,</w:t>
            </w:r>
            <w:r w:rsidRPr="005A36C1">
              <w:rPr>
                <w:rFonts w:cstheme="minorHAnsi"/>
                <w:color w:val="000000"/>
                <w:vertAlign w:val="superscript"/>
              </w:rPr>
              <w:footnoteReference w:id="3"/>
            </w:r>
            <w:r>
              <w:rPr>
                <w:color w:val="000000"/>
              </w:rPr>
              <w:t xml:space="preserve"> and used in remote transactions. </w:t>
            </w:r>
          </w:p>
        </w:tc>
      </w:tr>
      <w:tr w:rsidR="00B670C2" w:rsidRPr="005B346D" w14:paraId="3F13C305" w14:textId="77777777" w:rsidTr="00C90372">
        <w:trPr>
          <w:cantSplit/>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17EFD376" w14:textId="410145F1" w:rsidR="00B670C2" w:rsidRDefault="00D34BCC" w:rsidP="00D34BCC">
            <w:pPr>
              <w:spacing w:after="0" w:line="240" w:lineRule="auto"/>
              <w:jc w:val="center"/>
              <w:rPr>
                <w:rFonts w:ascii="Calibri" w:eastAsia="Times New Roman" w:hAnsi="Calibri" w:cs="Times New Roman"/>
                <w:color w:val="0070C0"/>
              </w:rPr>
            </w:pPr>
            <w:r>
              <w:rPr>
                <w:rFonts w:ascii="Calibri" w:hAnsi="Calibri"/>
                <w:color w:val="0070C0"/>
              </w:rPr>
              <w:t>Other</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66900B70" w14:textId="36826A5D" w:rsidR="00CC4E38" w:rsidRPr="00532246" w:rsidRDefault="00532246" w:rsidP="004C5924">
            <w:pPr>
              <w:spacing w:after="0" w:line="240" w:lineRule="auto"/>
              <w:jc w:val="both"/>
              <w:rPr>
                <w:rFonts w:cstheme="minorHAnsi"/>
                <w:color w:val="000000"/>
              </w:rPr>
            </w:pPr>
            <w:r>
              <w:rPr>
                <w:color w:val="000000"/>
              </w:rPr>
              <w:t xml:space="preserve">Any other fraud method, such as the use of a card number (or personal account number – PAN) that is consistent but yet not attributed to a cardholder and then used in remote transactions, the fraudulent modification of a legitimate payment order, manipulation of a payer to obtain a payment by card, etc. </w:t>
            </w:r>
          </w:p>
        </w:tc>
      </w:tr>
    </w:tbl>
    <w:p w14:paraId="742D6FE7" w14:textId="77777777" w:rsidR="0073756E" w:rsidRDefault="0073756E" w:rsidP="0054268E"/>
    <w:p w14:paraId="0E2AF000" w14:textId="77777777" w:rsidR="00CA78E5" w:rsidRDefault="00CA78E5" w:rsidP="004732ED">
      <w:pPr>
        <w:pStyle w:val="Paragraphedeliste"/>
        <w:numPr>
          <w:ilvl w:val="0"/>
          <w:numId w:val="12"/>
        </w:numPr>
        <w:ind w:left="284" w:hanging="284"/>
        <w:jc w:val="both"/>
        <w:rPr>
          <w:rFonts w:cs="Cambria,Bold"/>
          <w:b/>
          <w:bCs/>
          <w:color w:val="548DD4" w:themeColor="text2" w:themeTint="99"/>
        </w:rPr>
      </w:pPr>
      <w:r>
        <w:rPr>
          <w:b/>
          <w:bCs/>
          <w:color w:val="548DD4" w:themeColor="text2" w:themeTint="99"/>
        </w:rPr>
        <w:t xml:space="preserve">Specific rules to avoid double counting or omissions applicable to institutions that issue co-badged cards (CB-Mastercard or CB-Visa): </w:t>
      </w:r>
    </w:p>
    <w:p w14:paraId="2045E5E0" w14:textId="77777777" w:rsidR="00CA78E5" w:rsidRDefault="00CA78E5" w:rsidP="00CA78E5">
      <w:pPr>
        <w:pStyle w:val="Paragraphedeliste"/>
        <w:ind w:left="284"/>
        <w:rPr>
          <w:rFonts w:cs="Cambria,Bold"/>
          <w:b/>
          <w:bCs/>
          <w:color w:val="548DD4" w:themeColor="text2" w:themeTint="99"/>
        </w:rPr>
      </w:pPr>
    </w:p>
    <w:p w14:paraId="34908CDB" w14:textId="77777777" w:rsidR="00CA78E5" w:rsidRDefault="00CA78E5" w:rsidP="00CA78E5">
      <w:pPr>
        <w:pStyle w:val="Paragraphedeliste"/>
        <w:numPr>
          <w:ilvl w:val="0"/>
          <w:numId w:val="12"/>
        </w:numPr>
        <w:jc w:val="both"/>
      </w:pPr>
      <w:r>
        <w:rPr>
          <w:b/>
          <w:u w:val="single"/>
        </w:rPr>
        <w:t>GIE-CB</w:t>
      </w:r>
      <w:r>
        <w:t>: declaration of fraudulent transactions processed</w:t>
      </w:r>
      <w:r>
        <w:rPr>
          <w:vertAlign w:val="superscript"/>
        </w:rPr>
        <w:t>4</w:t>
      </w:r>
      <w:r>
        <w:t xml:space="preserve"> by the “CB” system only (irrespective of whether the card used is “CB only” or co-badged);</w:t>
      </w:r>
    </w:p>
    <w:p w14:paraId="2878762A" w14:textId="77777777" w:rsidR="00CA78E5" w:rsidRDefault="00CA78E5" w:rsidP="00CA78E5">
      <w:pPr>
        <w:pStyle w:val="Paragraphedeliste"/>
      </w:pPr>
    </w:p>
    <w:p w14:paraId="305A0379" w14:textId="61C38DB9" w:rsidR="00CA78E5" w:rsidRDefault="00CA78E5" w:rsidP="00CA78E5">
      <w:pPr>
        <w:pStyle w:val="Paragraphedeliste"/>
        <w:numPr>
          <w:ilvl w:val="0"/>
          <w:numId w:val="12"/>
        </w:numPr>
        <w:jc w:val="both"/>
      </w:pPr>
      <w:r>
        <w:rPr>
          <w:b/>
          <w:u w:val="single"/>
        </w:rPr>
        <w:t>Mastercard and Visa</w:t>
      </w:r>
      <w:r>
        <w:t>: declaration of fraudulent transactions processed</w:t>
      </w:r>
      <w:r w:rsidR="00F128C9">
        <w:rPr>
          <w:rStyle w:val="Appelnotedebasdep"/>
        </w:rPr>
        <w:footnoteReference w:id="4"/>
      </w:r>
      <w:r>
        <w:t xml:space="preserve"> by the Mastercard system or Visa system only (irrespective of whether the card used is “Mastercard o</w:t>
      </w:r>
      <w:r w:rsidR="00B812BF">
        <w:t>nly”, “Visa only” or co-badged).</w:t>
      </w:r>
    </w:p>
    <w:p w14:paraId="0844071C" w14:textId="77777777" w:rsidR="009F6546" w:rsidRDefault="009F6546">
      <w:r>
        <w:br w:type="page"/>
      </w:r>
    </w:p>
    <w:p w14:paraId="34D181F5" w14:textId="4437318D" w:rsidR="0073756E" w:rsidRPr="0077158F" w:rsidRDefault="007E4607" w:rsidP="004732ED">
      <w:pPr>
        <w:jc w:val="both"/>
        <w:rPr>
          <w:rFonts w:cs="Cambria,Bold"/>
          <w:b/>
          <w:bCs/>
          <w:color w:val="548DD4" w:themeColor="text2" w:themeTint="99"/>
          <w:sz w:val="24"/>
          <w:szCs w:val="24"/>
          <w:u w:val="single"/>
        </w:rPr>
      </w:pPr>
      <w:r>
        <w:rPr>
          <w:b/>
          <w:bCs/>
          <w:color w:val="548DD4" w:themeColor="text2" w:themeTint="99"/>
          <w:sz w:val="24"/>
          <w:szCs w:val="24"/>
          <w:u w:val="single"/>
        </w:rPr>
        <w:lastRenderedPageBreak/>
        <w:t>Section 5.1 – Breakdown of domestic transaction fraud on remote sales by sector of activity (FR issuer/FR acceptor)</w:t>
      </w:r>
    </w:p>
    <w:tbl>
      <w:tblPr>
        <w:tblW w:w="5000" w:type="pct"/>
        <w:tblCellMar>
          <w:left w:w="70" w:type="dxa"/>
          <w:right w:w="70" w:type="dxa"/>
        </w:tblCellMar>
        <w:tblLook w:val="04A0" w:firstRow="1" w:lastRow="0" w:firstColumn="1" w:lastColumn="0" w:noHBand="0" w:noVBand="1"/>
      </w:tblPr>
      <w:tblGrid>
        <w:gridCol w:w="149"/>
        <w:gridCol w:w="4919"/>
        <w:gridCol w:w="795"/>
        <w:gridCol w:w="780"/>
        <w:gridCol w:w="850"/>
        <w:gridCol w:w="796"/>
        <w:gridCol w:w="921"/>
      </w:tblGrid>
      <w:tr w:rsidR="00165CD4" w:rsidRPr="00165CD4" w14:paraId="22753247" w14:textId="77777777" w:rsidTr="00165CD4">
        <w:trPr>
          <w:trHeight w:val="316"/>
        </w:trPr>
        <w:tc>
          <w:tcPr>
            <w:tcW w:w="2750" w:type="pct"/>
            <w:gridSpan w:val="2"/>
            <w:vMerge w:val="restart"/>
            <w:tcBorders>
              <w:top w:val="single" w:sz="8" w:space="0" w:color="auto"/>
              <w:left w:val="nil"/>
              <w:bottom w:val="single" w:sz="8" w:space="0" w:color="000000"/>
              <w:right w:val="single" w:sz="4" w:space="0" w:color="D9D9D9"/>
            </w:tcBorders>
            <w:shd w:val="clear" w:color="auto" w:fill="auto"/>
            <w:vAlign w:val="center"/>
            <w:hideMark/>
          </w:tcPr>
          <w:p w14:paraId="41F41DAB" w14:textId="77777777" w:rsidR="00165CD4" w:rsidRPr="00165CD4" w:rsidRDefault="00165CD4" w:rsidP="00165CD4">
            <w:pPr>
              <w:spacing w:after="0" w:line="240" w:lineRule="auto"/>
              <w:jc w:val="center"/>
              <w:rPr>
                <w:rFonts w:ascii="Arial" w:eastAsia="Times New Roman" w:hAnsi="Arial" w:cs="Arial"/>
                <w:sz w:val="10"/>
                <w:szCs w:val="20"/>
              </w:rPr>
            </w:pPr>
            <w:r>
              <w:rPr>
                <w:rFonts w:ascii="Arial" w:hAnsi="Arial"/>
                <w:sz w:val="10"/>
                <w:szCs w:val="20"/>
              </w:rPr>
              <w:t> </w:t>
            </w:r>
          </w:p>
        </w:tc>
        <w:tc>
          <w:tcPr>
            <w:tcW w:w="856" w:type="pct"/>
            <w:gridSpan w:val="2"/>
            <w:tcBorders>
              <w:top w:val="single" w:sz="8" w:space="0" w:color="auto"/>
              <w:left w:val="nil"/>
              <w:bottom w:val="single" w:sz="4" w:space="0" w:color="D9D9D9"/>
              <w:right w:val="single" w:sz="4" w:space="0" w:color="D9D9D9"/>
            </w:tcBorders>
            <w:shd w:val="clear" w:color="auto" w:fill="auto"/>
            <w:vAlign w:val="center"/>
            <w:hideMark/>
          </w:tcPr>
          <w:p w14:paraId="4D22FA0B" w14:textId="77777777" w:rsidR="00165CD4" w:rsidRPr="00165CD4" w:rsidRDefault="00165CD4" w:rsidP="00165CD4">
            <w:pPr>
              <w:spacing w:after="0" w:line="240" w:lineRule="auto"/>
              <w:jc w:val="center"/>
              <w:rPr>
                <w:rFonts w:ascii="Arial" w:eastAsia="Times New Roman" w:hAnsi="Arial" w:cs="Arial"/>
                <w:sz w:val="10"/>
                <w:szCs w:val="20"/>
              </w:rPr>
            </w:pPr>
            <w:r>
              <w:rPr>
                <w:rFonts w:ascii="Arial" w:hAnsi="Arial"/>
                <w:sz w:val="10"/>
                <w:szCs w:val="20"/>
              </w:rPr>
              <w:t>Transactions</w:t>
            </w:r>
          </w:p>
        </w:tc>
        <w:tc>
          <w:tcPr>
            <w:tcW w:w="894" w:type="pct"/>
            <w:gridSpan w:val="2"/>
            <w:tcBorders>
              <w:top w:val="single" w:sz="8" w:space="0" w:color="auto"/>
              <w:left w:val="nil"/>
              <w:bottom w:val="single" w:sz="4" w:space="0" w:color="D9D9D9"/>
              <w:right w:val="single" w:sz="4" w:space="0" w:color="D9D9D9"/>
            </w:tcBorders>
            <w:shd w:val="clear" w:color="auto" w:fill="auto"/>
            <w:vAlign w:val="center"/>
            <w:hideMark/>
          </w:tcPr>
          <w:p w14:paraId="51DF586E" w14:textId="77777777" w:rsidR="00165CD4" w:rsidRPr="00165CD4" w:rsidRDefault="00165CD4" w:rsidP="00165CD4">
            <w:pPr>
              <w:spacing w:after="0" w:line="240" w:lineRule="auto"/>
              <w:jc w:val="center"/>
              <w:rPr>
                <w:rFonts w:ascii="Arial" w:eastAsia="Times New Roman" w:hAnsi="Arial" w:cs="Arial"/>
                <w:sz w:val="10"/>
                <w:szCs w:val="20"/>
              </w:rPr>
            </w:pPr>
            <w:r>
              <w:rPr>
                <w:rFonts w:ascii="Arial" w:hAnsi="Arial"/>
                <w:sz w:val="10"/>
                <w:szCs w:val="20"/>
              </w:rPr>
              <w:t>Fraud</w:t>
            </w:r>
          </w:p>
        </w:tc>
        <w:tc>
          <w:tcPr>
            <w:tcW w:w="500" w:type="pct"/>
            <w:vMerge w:val="restart"/>
            <w:tcBorders>
              <w:top w:val="single" w:sz="8" w:space="0" w:color="auto"/>
              <w:left w:val="single" w:sz="4" w:space="0" w:color="D9D9D9"/>
              <w:bottom w:val="single" w:sz="8" w:space="0" w:color="000000"/>
              <w:right w:val="single" w:sz="4" w:space="0" w:color="D9D9D9"/>
            </w:tcBorders>
            <w:shd w:val="clear" w:color="auto" w:fill="auto"/>
            <w:vAlign w:val="center"/>
            <w:hideMark/>
          </w:tcPr>
          <w:p w14:paraId="0050450A" w14:textId="77777777" w:rsidR="00165CD4" w:rsidRPr="00165CD4" w:rsidRDefault="00165CD4" w:rsidP="00165CD4">
            <w:pPr>
              <w:spacing w:after="0" w:line="240" w:lineRule="auto"/>
              <w:jc w:val="center"/>
              <w:rPr>
                <w:rFonts w:ascii="Arial" w:eastAsia="Times New Roman" w:hAnsi="Arial" w:cs="Arial"/>
                <w:sz w:val="10"/>
                <w:szCs w:val="20"/>
              </w:rPr>
            </w:pPr>
            <w:r>
              <w:rPr>
                <w:rFonts w:ascii="Arial" w:hAnsi="Arial"/>
                <w:sz w:val="10"/>
                <w:szCs w:val="20"/>
              </w:rPr>
              <w:t>Fraud rate (%)</w:t>
            </w:r>
          </w:p>
        </w:tc>
      </w:tr>
      <w:tr w:rsidR="00165CD4" w:rsidRPr="00165CD4" w14:paraId="6BB2D21D" w14:textId="77777777" w:rsidTr="00165CD4">
        <w:trPr>
          <w:trHeight w:val="265"/>
        </w:trPr>
        <w:tc>
          <w:tcPr>
            <w:tcW w:w="2750" w:type="pct"/>
            <w:gridSpan w:val="2"/>
            <w:vMerge/>
            <w:tcBorders>
              <w:top w:val="single" w:sz="8" w:space="0" w:color="auto"/>
              <w:left w:val="nil"/>
              <w:bottom w:val="single" w:sz="8" w:space="0" w:color="000000"/>
              <w:right w:val="single" w:sz="4" w:space="0" w:color="D9D9D9"/>
            </w:tcBorders>
            <w:vAlign w:val="center"/>
            <w:hideMark/>
          </w:tcPr>
          <w:p w14:paraId="051696A1" w14:textId="77777777" w:rsidR="00165CD4" w:rsidRPr="00165CD4" w:rsidRDefault="00165CD4" w:rsidP="00165CD4">
            <w:pPr>
              <w:spacing w:after="0" w:line="240" w:lineRule="auto"/>
              <w:rPr>
                <w:rFonts w:ascii="Arial" w:eastAsia="Times New Roman" w:hAnsi="Arial" w:cs="Arial"/>
                <w:sz w:val="10"/>
                <w:szCs w:val="20"/>
                <w:lang w:eastAsia="fr-FR"/>
              </w:rPr>
            </w:pPr>
          </w:p>
        </w:tc>
        <w:tc>
          <w:tcPr>
            <w:tcW w:w="432" w:type="pct"/>
            <w:tcBorders>
              <w:top w:val="nil"/>
              <w:left w:val="nil"/>
              <w:bottom w:val="single" w:sz="8" w:space="0" w:color="auto"/>
              <w:right w:val="single" w:sz="4" w:space="0" w:color="D9D9D9"/>
            </w:tcBorders>
            <w:shd w:val="clear" w:color="auto" w:fill="auto"/>
            <w:vAlign w:val="center"/>
            <w:hideMark/>
          </w:tcPr>
          <w:p w14:paraId="4E9D4F44" w14:textId="77777777" w:rsidR="00165CD4" w:rsidRPr="00165CD4" w:rsidRDefault="00165CD4" w:rsidP="00165CD4">
            <w:pPr>
              <w:spacing w:after="0" w:line="240" w:lineRule="auto"/>
              <w:jc w:val="center"/>
              <w:rPr>
                <w:rFonts w:ascii="Arial" w:eastAsia="Times New Roman" w:hAnsi="Arial" w:cs="Arial"/>
                <w:sz w:val="10"/>
                <w:szCs w:val="16"/>
              </w:rPr>
            </w:pPr>
            <w:r>
              <w:rPr>
                <w:rFonts w:ascii="Arial" w:hAnsi="Arial"/>
                <w:sz w:val="10"/>
                <w:szCs w:val="16"/>
              </w:rPr>
              <w:t>volume</w:t>
            </w:r>
            <w:r>
              <w:rPr>
                <w:rFonts w:ascii="Arial" w:hAnsi="Arial"/>
                <w:sz w:val="10"/>
                <w:szCs w:val="16"/>
              </w:rPr>
              <w:br/>
              <w:t>(in units)</w:t>
            </w:r>
          </w:p>
        </w:tc>
        <w:tc>
          <w:tcPr>
            <w:tcW w:w="424" w:type="pct"/>
            <w:tcBorders>
              <w:top w:val="nil"/>
              <w:left w:val="nil"/>
              <w:bottom w:val="single" w:sz="8" w:space="0" w:color="auto"/>
              <w:right w:val="single" w:sz="4" w:space="0" w:color="D9D9D9"/>
            </w:tcBorders>
            <w:shd w:val="clear" w:color="auto" w:fill="auto"/>
            <w:vAlign w:val="center"/>
            <w:hideMark/>
          </w:tcPr>
          <w:p w14:paraId="03F6C710" w14:textId="77777777" w:rsidR="00165CD4" w:rsidRPr="00165CD4" w:rsidRDefault="00165CD4" w:rsidP="00165CD4">
            <w:pPr>
              <w:spacing w:after="0" w:line="240" w:lineRule="auto"/>
              <w:jc w:val="center"/>
              <w:rPr>
                <w:rFonts w:ascii="Arial" w:eastAsia="Times New Roman" w:hAnsi="Arial" w:cs="Arial"/>
                <w:sz w:val="10"/>
                <w:szCs w:val="16"/>
              </w:rPr>
            </w:pPr>
            <w:r>
              <w:rPr>
                <w:rFonts w:ascii="Arial" w:hAnsi="Arial"/>
                <w:sz w:val="10"/>
                <w:szCs w:val="16"/>
              </w:rPr>
              <w:t xml:space="preserve">value </w:t>
            </w:r>
            <w:r>
              <w:rPr>
                <w:rFonts w:ascii="Arial" w:hAnsi="Arial"/>
                <w:sz w:val="10"/>
                <w:szCs w:val="16"/>
              </w:rPr>
              <w:br/>
              <w:t>(in euro)</w:t>
            </w:r>
          </w:p>
        </w:tc>
        <w:tc>
          <w:tcPr>
            <w:tcW w:w="462" w:type="pct"/>
            <w:tcBorders>
              <w:top w:val="nil"/>
              <w:left w:val="nil"/>
              <w:bottom w:val="single" w:sz="8" w:space="0" w:color="auto"/>
              <w:right w:val="single" w:sz="4" w:space="0" w:color="D9D9D9"/>
            </w:tcBorders>
            <w:shd w:val="clear" w:color="auto" w:fill="auto"/>
            <w:vAlign w:val="center"/>
            <w:hideMark/>
          </w:tcPr>
          <w:p w14:paraId="2D3F5EBF" w14:textId="77777777" w:rsidR="00165CD4" w:rsidRPr="00165CD4" w:rsidRDefault="00165CD4" w:rsidP="00165CD4">
            <w:pPr>
              <w:spacing w:after="0" w:line="240" w:lineRule="auto"/>
              <w:jc w:val="center"/>
              <w:rPr>
                <w:rFonts w:ascii="Arial" w:eastAsia="Times New Roman" w:hAnsi="Arial" w:cs="Arial"/>
                <w:sz w:val="10"/>
                <w:szCs w:val="16"/>
              </w:rPr>
            </w:pPr>
            <w:r>
              <w:rPr>
                <w:rFonts w:ascii="Arial" w:hAnsi="Arial"/>
                <w:sz w:val="10"/>
                <w:szCs w:val="16"/>
              </w:rPr>
              <w:t>volume</w:t>
            </w:r>
            <w:r>
              <w:rPr>
                <w:rFonts w:ascii="Arial" w:hAnsi="Arial"/>
                <w:sz w:val="10"/>
                <w:szCs w:val="16"/>
              </w:rPr>
              <w:br/>
              <w:t>(in units)</w:t>
            </w:r>
          </w:p>
        </w:tc>
        <w:tc>
          <w:tcPr>
            <w:tcW w:w="432" w:type="pct"/>
            <w:tcBorders>
              <w:top w:val="nil"/>
              <w:left w:val="nil"/>
              <w:bottom w:val="single" w:sz="8" w:space="0" w:color="auto"/>
              <w:right w:val="single" w:sz="4" w:space="0" w:color="D9D9D9"/>
            </w:tcBorders>
            <w:shd w:val="clear" w:color="auto" w:fill="auto"/>
            <w:vAlign w:val="center"/>
            <w:hideMark/>
          </w:tcPr>
          <w:p w14:paraId="7322861F" w14:textId="77777777" w:rsidR="00165CD4" w:rsidRPr="00165CD4" w:rsidRDefault="00165CD4" w:rsidP="00165CD4">
            <w:pPr>
              <w:spacing w:after="0" w:line="240" w:lineRule="auto"/>
              <w:jc w:val="center"/>
              <w:rPr>
                <w:rFonts w:ascii="Arial" w:eastAsia="Times New Roman" w:hAnsi="Arial" w:cs="Arial"/>
                <w:sz w:val="10"/>
                <w:szCs w:val="16"/>
              </w:rPr>
            </w:pPr>
            <w:r>
              <w:rPr>
                <w:rFonts w:ascii="Arial" w:hAnsi="Arial"/>
                <w:sz w:val="10"/>
                <w:szCs w:val="16"/>
              </w:rPr>
              <w:t xml:space="preserve">value </w:t>
            </w:r>
            <w:r>
              <w:rPr>
                <w:rFonts w:ascii="Arial" w:hAnsi="Arial"/>
                <w:sz w:val="10"/>
                <w:szCs w:val="16"/>
              </w:rPr>
              <w:br/>
              <w:t>(in euro)</w:t>
            </w:r>
          </w:p>
        </w:tc>
        <w:tc>
          <w:tcPr>
            <w:tcW w:w="500" w:type="pct"/>
            <w:vMerge/>
            <w:tcBorders>
              <w:top w:val="single" w:sz="8" w:space="0" w:color="auto"/>
              <w:left w:val="single" w:sz="4" w:space="0" w:color="D9D9D9"/>
              <w:bottom w:val="single" w:sz="8" w:space="0" w:color="000000"/>
              <w:right w:val="single" w:sz="4" w:space="0" w:color="D9D9D9"/>
            </w:tcBorders>
            <w:vAlign w:val="center"/>
            <w:hideMark/>
          </w:tcPr>
          <w:p w14:paraId="0E805112" w14:textId="77777777" w:rsidR="00165CD4" w:rsidRPr="00165CD4" w:rsidRDefault="00165CD4" w:rsidP="00165CD4">
            <w:pPr>
              <w:spacing w:after="0" w:line="240" w:lineRule="auto"/>
              <w:rPr>
                <w:rFonts w:ascii="Arial" w:eastAsia="Times New Roman" w:hAnsi="Arial" w:cs="Arial"/>
                <w:sz w:val="10"/>
                <w:szCs w:val="20"/>
                <w:lang w:eastAsia="fr-FR"/>
              </w:rPr>
            </w:pPr>
          </w:p>
        </w:tc>
      </w:tr>
      <w:tr w:rsidR="00165CD4" w:rsidRPr="00165CD4" w14:paraId="10CA238C" w14:textId="77777777" w:rsidTr="00165CD4">
        <w:trPr>
          <w:trHeight w:val="276"/>
        </w:trPr>
        <w:tc>
          <w:tcPr>
            <w:tcW w:w="2750" w:type="pct"/>
            <w:gridSpan w:val="2"/>
            <w:tcBorders>
              <w:top w:val="single" w:sz="8" w:space="0" w:color="auto"/>
              <w:left w:val="nil"/>
              <w:bottom w:val="dashed" w:sz="4" w:space="0" w:color="auto"/>
              <w:right w:val="single" w:sz="4" w:space="0" w:color="FFFFFF"/>
            </w:tcBorders>
            <w:shd w:val="clear" w:color="auto" w:fill="auto"/>
            <w:vAlign w:val="center"/>
            <w:hideMark/>
          </w:tcPr>
          <w:p w14:paraId="463393AD"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rPr>
            </w:pPr>
            <w:r>
              <w:rPr>
                <w:rFonts w:ascii="Arial" w:hAnsi="Arial"/>
                <w:sz w:val="10"/>
                <w:szCs w:val="20"/>
              </w:rPr>
              <w:t>General and semi-general trade</w:t>
            </w:r>
          </w:p>
        </w:tc>
        <w:tc>
          <w:tcPr>
            <w:tcW w:w="432" w:type="pct"/>
            <w:tcBorders>
              <w:top w:val="nil"/>
              <w:left w:val="nil"/>
              <w:bottom w:val="dashed" w:sz="4" w:space="0" w:color="auto"/>
              <w:right w:val="single" w:sz="4" w:space="0" w:color="FFFFFF"/>
            </w:tcBorders>
            <w:shd w:val="clear" w:color="FFFFFF" w:fill="D9D9D9"/>
            <w:noWrap/>
            <w:vAlign w:val="center"/>
            <w:hideMark/>
          </w:tcPr>
          <w:p w14:paraId="43B5387A"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1A4477FD"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4FBBEC51"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7765BD3C"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15199086"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254CECBE"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35C2748C"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rPr>
            </w:pPr>
            <w:r>
              <w:rPr>
                <w:rFonts w:ascii="Arial" w:hAnsi="Arial"/>
                <w:sz w:val="10"/>
                <w:szCs w:val="20"/>
              </w:rPr>
              <w:t>Technical and cultural products (books, dvds, computer, hi-fi, photography and video equipment, household appliances, etc.)</w:t>
            </w:r>
          </w:p>
        </w:tc>
        <w:tc>
          <w:tcPr>
            <w:tcW w:w="432" w:type="pct"/>
            <w:tcBorders>
              <w:top w:val="nil"/>
              <w:left w:val="nil"/>
              <w:bottom w:val="dashed" w:sz="4" w:space="0" w:color="auto"/>
              <w:right w:val="single" w:sz="4" w:space="0" w:color="FFFFFF"/>
            </w:tcBorders>
            <w:shd w:val="clear" w:color="FFFFFF" w:fill="D9D9D9"/>
            <w:noWrap/>
            <w:vAlign w:val="center"/>
            <w:hideMark/>
          </w:tcPr>
          <w:p w14:paraId="7FFDEBA8"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4B469334"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6D89FF70"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62196BD0"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0449FBC8"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0B416221"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1322FAA3"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rPr>
            </w:pPr>
            <w:r>
              <w:rPr>
                <w:rFonts w:ascii="Arial" w:hAnsi="Arial"/>
                <w:sz w:val="10"/>
                <w:szCs w:val="20"/>
              </w:rPr>
              <w:t>Travel and transportation</w:t>
            </w:r>
          </w:p>
        </w:tc>
        <w:tc>
          <w:tcPr>
            <w:tcW w:w="432" w:type="pct"/>
            <w:tcBorders>
              <w:top w:val="nil"/>
              <w:left w:val="nil"/>
              <w:bottom w:val="dashed" w:sz="4" w:space="0" w:color="auto"/>
              <w:right w:val="single" w:sz="4" w:space="0" w:color="FFFFFF"/>
            </w:tcBorders>
            <w:shd w:val="clear" w:color="FFFFFF" w:fill="D9D9D9"/>
            <w:noWrap/>
            <w:vAlign w:val="center"/>
            <w:hideMark/>
          </w:tcPr>
          <w:p w14:paraId="3FF5E8E0"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57F3B2EA"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3B23972C"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5F6B367E"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2F1672DD"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239AD9C6"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665E374B"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rPr>
            </w:pPr>
            <w:r>
              <w:rPr>
                <w:rFonts w:ascii="Arial" w:hAnsi="Arial"/>
                <w:sz w:val="10"/>
                <w:szCs w:val="20"/>
              </w:rPr>
              <w:t>Telephony and communication</w:t>
            </w:r>
          </w:p>
        </w:tc>
        <w:tc>
          <w:tcPr>
            <w:tcW w:w="432" w:type="pct"/>
            <w:tcBorders>
              <w:top w:val="nil"/>
              <w:left w:val="nil"/>
              <w:bottom w:val="dashed" w:sz="4" w:space="0" w:color="auto"/>
              <w:right w:val="single" w:sz="4" w:space="0" w:color="FFFFFF"/>
            </w:tcBorders>
            <w:shd w:val="clear" w:color="FFFFFF" w:fill="D9D9D9"/>
            <w:noWrap/>
            <w:vAlign w:val="center"/>
            <w:hideMark/>
          </w:tcPr>
          <w:p w14:paraId="477C3800"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037D263B"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73304AD2"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1EB34CA2"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5F8F9D85"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438B6BCA"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06A14E56"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rPr>
            </w:pPr>
            <w:r>
              <w:rPr>
                <w:rFonts w:ascii="Arial" w:hAnsi="Arial"/>
                <w:sz w:val="10"/>
                <w:szCs w:val="20"/>
              </w:rPr>
              <w:t>Foodstuffs</w:t>
            </w:r>
          </w:p>
        </w:tc>
        <w:tc>
          <w:tcPr>
            <w:tcW w:w="432" w:type="pct"/>
            <w:tcBorders>
              <w:top w:val="nil"/>
              <w:left w:val="nil"/>
              <w:bottom w:val="dashed" w:sz="4" w:space="0" w:color="auto"/>
              <w:right w:val="single" w:sz="4" w:space="0" w:color="FFFFFF"/>
            </w:tcBorders>
            <w:shd w:val="clear" w:color="FFFFFF" w:fill="D9D9D9"/>
            <w:noWrap/>
            <w:vAlign w:val="center"/>
            <w:hideMark/>
          </w:tcPr>
          <w:p w14:paraId="7546DEB4"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3ADA98B3"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6F20E7DC"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5C6BE525"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3242B0F5"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10EF97BC"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56B2F47B"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rPr>
            </w:pPr>
            <w:r>
              <w:rPr>
                <w:rFonts w:ascii="Arial" w:hAnsi="Arial"/>
                <w:sz w:val="10"/>
                <w:szCs w:val="20"/>
              </w:rPr>
              <w:t>Household goods, furnishings and DIY</w:t>
            </w:r>
          </w:p>
        </w:tc>
        <w:tc>
          <w:tcPr>
            <w:tcW w:w="432" w:type="pct"/>
            <w:tcBorders>
              <w:top w:val="nil"/>
              <w:left w:val="nil"/>
              <w:bottom w:val="dashed" w:sz="4" w:space="0" w:color="auto"/>
              <w:right w:val="single" w:sz="4" w:space="0" w:color="FFFFFF"/>
            </w:tcBorders>
            <w:shd w:val="clear" w:color="FFFFFF" w:fill="D9D9D9"/>
            <w:noWrap/>
            <w:vAlign w:val="center"/>
            <w:hideMark/>
          </w:tcPr>
          <w:p w14:paraId="2A59F331"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57D376D7"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6683005A"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4AB16C43"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139331F1"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30B78F84"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529CCF14"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rPr>
            </w:pPr>
            <w:r>
              <w:rPr>
                <w:rFonts w:ascii="Arial" w:hAnsi="Arial"/>
                <w:sz w:val="10"/>
                <w:szCs w:val="20"/>
              </w:rPr>
              <w:t>Insurance</w:t>
            </w:r>
          </w:p>
        </w:tc>
        <w:tc>
          <w:tcPr>
            <w:tcW w:w="432" w:type="pct"/>
            <w:tcBorders>
              <w:top w:val="nil"/>
              <w:left w:val="nil"/>
              <w:bottom w:val="dashed" w:sz="4" w:space="0" w:color="auto"/>
              <w:right w:val="single" w:sz="4" w:space="0" w:color="FFFFFF"/>
            </w:tcBorders>
            <w:shd w:val="clear" w:color="FFFFFF" w:fill="D9D9D9"/>
            <w:noWrap/>
            <w:vAlign w:val="center"/>
            <w:hideMark/>
          </w:tcPr>
          <w:p w14:paraId="64C10C8D"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5D0B78B4"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1C22786B"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71727157"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4E7319F4"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28EF250B"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0D0987AF"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rPr>
            </w:pPr>
            <w:r>
              <w:rPr>
                <w:rFonts w:ascii="Arial" w:hAnsi="Arial"/>
                <w:sz w:val="10"/>
                <w:szCs w:val="20"/>
              </w:rPr>
              <w:t>Health, beauty and personal care</w:t>
            </w:r>
          </w:p>
        </w:tc>
        <w:tc>
          <w:tcPr>
            <w:tcW w:w="432" w:type="pct"/>
            <w:tcBorders>
              <w:top w:val="nil"/>
              <w:left w:val="nil"/>
              <w:bottom w:val="dashed" w:sz="4" w:space="0" w:color="auto"/>
              <w:right w:val="single" w:sz="4" w:space="0" w:color="FFFFFF"/>
            </w:tcBorders>
            <w:shd w:val="clear" w:color="FFFFFF" w:fill="D9D9D9"/>
            <w:noWrap/>
            <w:vAlign w:val="center"/>
            <w:hideMark/>
          </w:tcPr>
          <w:p w14:paraId="41A6F80D"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3D86DC65"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79C1E814"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1EF13BDB"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27920C50"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3A738C74"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796CD183"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rPr>
            </w:pPr>
            <w:r>
              <w:rPr>
                <w:rFonts w:ascii="Arial" w:hAnsi="Arial"/>
                <w:sz w:val="10"/>
                <w:szCs w:val="20"/>
              </w:rPr>
              <w:t>Personal and professional services</w:t>
            </w:r>
          </w:p>
        </w:tc>
        <w:tc>
          <w:tcPr>
            <w:tcW w:w="432" w:type="pct"/>
            <w:tcBorders>
              <w:top w:val="nil"/>
              <w:left w:val="nil"/>
              <w:bottom w:val="dashed" w:sz="4" w:space="0" w:color="auto"/>
              <w:right w:val="single" w:sz="4" w:space="0" w:color="FFFFFF"/>
            </w:tcBorders>
            <w:shd w:val="clear" w:color="FFFFFF" w:fill="D9D9D9"/>
            <w:noWrap/>
            <w:vAlign w:val="center"/>
            <w:hideMark/>
          </w:tcPr>
          <w:p w14:paraId="5EAE8978"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68DCBC99"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773C2B05"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5A4B5F2B"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188ED44F"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68A3DF9A"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7DE008FE"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rPr>
            </w:pPr>
            <w:r>
              <w:rPr>
                <w:rFonts w:ascii="Arial" w:hAnsi="Arial"/>
                <w:sz w:val="10"/>
                <w:szCs w:val="20"/>
              </w:rPr>
              <w:t>Account loading and person-to-person sales</w:t>
            </w:r>
          </w:p>
        </w:tc>
        <w:tc>
          <w:tcPr>
            <w:tcW w:w="432" w:type="pct"/>
            <w:tcBorders>
              <w:top w:val="nil"/>
              <w:left w:val="nil"/>
              <w:bottom w:val="dashed" w:sz="4" w:space="0" w:color="auto"/>
              <w:right w:val="single" w:sz="4" w:space="0" w:color="FFFFFF"/>
            </w:tcBorders>
            <w:shd w:val="clear" w:color="FFFFFF" w:fill="D9D9D9"/>
            <w:noWrap/>
            <w:vAlign w:val="center"/>
            <w:hideMark/>
          </w:tcPr>
          <w:p w14:paraId="16C5E3B9"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40BDF5F7"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5291E2B1"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41B27199"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75BCD77D"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29CD98D2" w14:textId="77777777" w:rsidTr="00165CD4">
        <w:trPr>
          <w:trHeight w:val="276"/>
        </w:trPr>
        <w:tc>
          <w:tcPr>
            <w:tcW w:w="2750" w:type="pct"/>
            <w:gridSpan w:val="2"/>
            <w:tcBorders>
              <w:top w:val="dashed" w:sz="4" w:space="0" w:color="auto"/>
              <w:left w:val="nil"/>
              <w:bottom w:val="dashed" w:sz="4" w:space="0" w:color="auto"/>
              <w:right w:val="single" w:sz="4" w:space="0" w:color="FFFFFF"/>
            </w:tcBorders>
            <w:shd w:val="clear" w:color="auto" w:fill="auto"/>
            <w:vAlign w:val="center"/>
            <w:hideMark/>
          </w:tcPr>
          <w:p w14:paraId="71C60743"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rPr>
            </w:pPr>
            <w:r>
              <w:rPr>
                <w:rFonts w:ascii="Arial" w:hAnsi="Arial"/>
                <w:sz w:val="10"/>
                <w:szCs w:val="20"/>
              </w:rPr>
              <w:t>Online gaming</w:t>
            </w:r>
          </w:p>
        </w:tc>
        <w:tc>
          <w:tcPr>
            <w:tcW w:w="432" w:type="pct"/>
            <w:tcBorders>
              <w:top w:val="nil"/>
              <w:left w:val="nil"/>
              <w:bottom w:val="dashed" w:sz="4" w:space="0" w:color="auto"/>
              <w:right w:val="single" w:sz="4" w:space="0" w:color="FFFFFF"/>
            </w:tcBorders>
            <w:shd w:val="clear" w:color="FFFFFF" w:fill="D9D9D9"/>
            <w:noWrap/>
            <w:vAlign w:val="center"/>
            <w:hideMark/>
          </w:tcPr>
          <w:p w14:paraId="551179E5"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24" w:type="pct"/>
            <w:tcBorders>
              <w:top w:val="nil"/>
              <w:left w:val="nil"/>
              <w:bottom w:val="dashed" w:sz="4" w:space="0" w:color="auto"/>
              <w:right w:val="single" w:sz="4" w:space="0" w:color="FFFFFF"/>
            </w:tcBorders>
            <w:shd w:val="clear" w:color="FFFFFF" w:fill="F2F2F2"/>
            <w:noWrap/>
            <w:vAlign w:val="center"/>
            <w:hideMark/>
          </w:tcPr>
          <w:p w14:paraId="1A7E170B"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62" w:type="pct"/>
            <w:tcBorders>
              <w:top w:val="nil"/>
              <w:left w:val="nil"/>
              <w:bottom w:val="dashed" w:sz="4" w:space="0" w:color="auto"/>
              <w:right w:val="single" w:sz="4" w:space="0" w:color="FFFFFF"/>
            </w:tcBorders>
            <w:shd w:val="clear" w:color="FFFFFF" w:fill="D9D9D9"/>
            <w:noWrap/>
            <w:vAlign w:val="center"/>
            <w:hideMark/>
          </w:tcPr>
          <w:p w14:paraId="7246B418"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32" w:type="pct"/>
            <w:tcBorders>
              <w:top w:val="nil"/>
              <w:left w:val="nil"/>
              <w:bottom w:val="dashed" w:sz="4" w:space="0" w:color="auto"/>
              <w:right w:val="single" w:sz="4" w:space="0" w:color="FFFFFF"/>
            </w:tcBorders>
            <w:shd w:val="clear" w:color="FFFFFF" w:fill="F2F2F2"/>
            <w:noWrap/>
            <w:vAlign w:val="center"/>
            <w:hideMark/>
          </w:tcPr>
          <w:p w14:paraId="1D77F847"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500" w:type="pct"/>
            <w:tcBorders>
              <w:top w:val="nil"/>
              <w:left w:val="nil"/>
              <w:bottom w:val="dashed" w:sz="4" w:space="0" w:color="auto"/>
              <w:right w:val="single" w:sz="4" w:space="0" w:color="FFFFFF"/>
            </w:tcBorders>
            <w:shd w:val="clear" w:color="FFFFFF" w:fill="D9D9D9"/>
            <w:noWrap/>
            <w:vAlign w:val="center"/>
            <w:hideMark/>
          </w:tcPr>
          <w:p w14:paraId="1E7C8380"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5429341A" w14:textId="77777777" w:rsidTr="00165CD4">
        <w:trPr>
          <w:trHeight w:val="276"/>
        </w:trPr>
        <w:tc>
          <w:tcPr>
            <w:tcW w:w="2750" w:type="pct"/>
            <w:gridSpan w:val="2"/>
            <w:tcBorders>
              <w:top w:val="dashed" w:sz="4" w:space="0" w:color="auto"/>
              <w:left w:val="nil"/>
              <w:bottom w:val="single" w:sz="8" w:space="0" w:color="auto"/>
              <w:right w:val="single" w:sz="4" w:space="0" w:color="FFFFFF"/>
            </w:tcBorders>
            <w:shd w:val="clear" w:color="auto" w:fill="auto"/>
            <w:vAlign w:val="center"/>
            <w:hideMark/>
          </w:tcPr>
          <w:p w14:paraId="4F6C8987" w14:textId="77777777" w:rsidR="00165CD4" w:rsidRPr="00165CD4" w:rsidRDefault="00165CD4" w:rsidP="00165CD4">
            <w:pPr>
              <w:spacing w:after="0" w:line="240" w:lineRule="auto"/>
              <w:ind w:firstLineChars="100" w:firstLine="100"/>
              <w:jc w:val="right"/>
              <w:rPr>
                <w:rFonts w:ascii="Arial" w:eastAsia="Times New Roman" w:hAnsi="Arial" w:cs="Arial"/>
                <w:sz w:val="10"/>
                <w:szCs w:val="20"/>
              </w:rPr>
            </w:pPr>
            <w:r>
              <w:rPr>
                <w:rFonts w:ascii="Arial" w:hAnsi="Arial"/>
                <w:sz w:val="10"/>
                <w:szCs w:val="20"/>
              </w:rPr>
              <w:t>Miscellaneous</w:t>
            </w:r>
          </w:p>
        </w:tc>
        <w:tc>
          <w:tcPr>
            <w:tcW w:w="432" w:type="pct"/>
            <w:tcBorders>
              <w:top w:val="dashed" w:sz="4" w:space="0" w:color="auto"/>
              <w:left w:val="nil"/>
              <w:bottom w:val="single" w:sz="8" w:space="0" w:color="auto"/>
              <w:right w:val="single" w:sz="4" w:space="0" w:color="FFFFFF"/>
            </w:tcBorders>
            <w:shd w:val="clear" w:color="FFFFFF" w:fill="D9D9D9"/>
            <w:noWrap/>
            <w:vAlign w:val="center"/>
            <w:hideMark/>
          </w:tcPr>
          <w:p w14:paraId="11E4E6B3"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24" w:type="pct"/>
            <w:tcBorders>
              <w:top w:val="dashed" w:sz="4" w:space="0" w:color="auto"/>
              <w:left w:val="nil"/>
              <w:bottom w:val="single" w:sz="8" w:space="0" w:color="auto"/>
              <w:right w:val="single" w:sz="4" w:space="0" w:color="FFFFFF"/>
            </w:tcBorders>
            <w:shd w:val="clear" w:color="FFFFFF" w:fill="F2F2F2"/>
            <w:noWrap/>
            <w:vAlign w:val="center"/>
            <w:hideMark/>
          </w:tcPr>
          <w:p w14:paraId="15730EA9"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62" w:type="pct"/>
            <w:tcBorders>
              <w:top w:val="dashed" w:sz="4" w:space="0" w:color="auto"/>
              <w:left w:val="nil"/>
              <w:bottom w:val="single" w:sz="8" w:space="0" w:color="auto"/>
              <w:right w:val="single" w:sz="4" w:space="0" w:color="FFFFFF"/>
            </w:tcBorders>
            <w:shd w:val="clear" w:color="FFFFFF" w:fill="D9D9D9"/>
            <w:noWrap/>
            <w:vAlign w:val="center"/>
            <w:hideMark/>
          </w:tcPr>
          <w:p w14:paraId="7A06349F"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432" w:type="pct"/>
            <w:tcBorders>
              <w:top w:val="dashed" w:sz="4" w:space="0" w:color="auto"/>
              <w:left w:val="nil"/>
              <w:bottom w:val="single" w:sz="8" w:space="0" w:color="auto"/>
              <w:right w:val="single" w:sz="4" w:space="0" w:color="FFFFFF"/>
            </w:tcBorders>
            <w:shd w:val="clear" w:color="FFFFFF" w:fill="F2F2F2"/>
            <w:noWrap/>
            <w:vAlign w:val="center"/>
            <w:hideMark/>
          </w:tcPr>
          <w:p w14:paraId="5B1D9FB0"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c>
          <w:tcPr>
            <w:tcW w:w="500" w:type="pct"/>
            <w:tcBorders>
              <w:top w:val="dashed" w:sz="4" w:space="0" w:color="auto"/>
              <w:left w:val="nil"/>
              <w:bottom w:val="single" w:sz="8" w:space="0" w:color="auto"/>
              <w:right w:val="single" w:sz="4" w:space="0" w:color="FFFFFF"/>
            </w:tcBorders>
            <w:shd w:val="clear" w:color="FFFFFF" w:fill="D9D9D9"/>
            <w:noWrap/>
            <w:vAlign w:val="center"/>
            <w:hideMark/>
          </w:tcPr>
          <w:p w14:paraId="1A83FA62"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66E6EC0B" w14:textId="77777777" w:rsidTr="00165CD4">
        <w:trPr>
          <w:trHeight w:val="276"/>
        </w:trPr>
        <w:tc>
          <w:tcPr>
            <w:tcW w:w="2750" w:type="pct"/>
            <w:gridSpan w:val="2"/>
            <w:tcBorders>
              <w:top w:val="single" w:sz="8" w:space="0" w:color="auto"/>
              <w:left w:val="nil"/>
              <w:bottom w:val="single" w:sz="8" w:space="0" w:color="auto"/>
              <w:right w:val="single" w:sz="4" w:space="0" w:color="D9D9D9"/>
            </w:tcBorders>
            <w:shd w:val="clear" w:color="auto" w:fill="auto"/>
            <w:noWrap/>
            <w:vAlign w:val="center"/>
            <w:hideMark/>
          </w:tcPr>
          <w:p w14:paraId="4BC0B39E" w14:textId="77777777" w:rsidR="00165CD4" w:rsidRPr="00165CD4" w:rsidRDefault="00165CD4" w:rsidP="00165CD4">
            <w:pPr>
              <w:spacing w:after="0" w:line="240" w:lineRule="auto"/>
              <w:jc w:val="right"/>
              <w:rPr>
                <w:rFonts w:ascii="Arial" w:eastAsia="Times New Roman" w:hAnsi="Arial" w:cs="Arial"/>
                <w:sz w:val="10"/>
                <w:szCs w:val="20"/>
              </w:rPr>
            </w:pPr>
            <w:r>
              <w:rPr>
                <w:rFonts w:ascii="Arial" w:hAnsi="Arial"/>
                <w:sz w:val="10"/>
                <w:szCs w:val="20"/>
              </w:rPr>
              <w:t>Total</w:t>
            </w:r>
          </w:p>
        </w:tc>
        <w:tc>
          <w:tcPr>
            <w:tcW w:w="432" w:type="pct"/>
            <w:tcBorders>
              <w:top w:val="nil"/>
              <w:left w:val="nil"/>
              <w:bottom w:val="single" w:sz="8" w:space="0" w:color="auto"/>
              <w:right w:val="single" w:sz="4" w:space="0" w:color="D9D9D9"/>
            </w:tcBorders>
            <w:shd w:val="clear" w:color="auto" w:fill="auto"/>
            <w:noWrap/>
            <w:vAlign w:val="center"/>
            <w:hideMark/>
          </w:tcPr>
          <w:p w14:paraId="3AB79D00" w14:textId="77777777" w:rsidR="00165CD4" w:rsidRPr="00165CD4" w:rsidRDefault="00165CD4" w:rsidP="00165CD4">
            <w:pPr>
              <w:spacing w:after="0" w:line="240" w:lineRule="auto"/>
              <w:jc w:val="right"/>
              <w:rPr>
                <w:rFonts w:ascii="Arial" w:eastAsia="Times New Roman" w:hAnsi="Arial" w:cs="Arial"/>
                <w:sz w:val="10"/>
                <w:szCs w:val="20"/>
              </w:rPr>
            </w:pPr>
            <w:r>
              <w:rPr>
                <w:rFonts w:ascii="Arial" w:hAnsi="Arial"/>
                <w:sz w:val="10"/>
                <w:szCs w:val="20"/>
              </w:rPr>
              <w:t> </w:t>
            </w:r>
          </w:p>
        </w:tc>
        <w:tc>
          <w:tcPr>
            <w:tcW w:w="424" w:type="pct"/>
            <w:tcBorders>
              <w:top w:val="nil"/>
              <w:left w:val="nil"/>
              <w:bottom w:val="single" w:sz="8" w:space="0" w:color="auto"/>
              <w:right w:val="single" w:sz="4" w:space="0" w:color="D9D9D9"/>
            </w:tcBorders>
            <w:shd w:val="clear" w:color="auto" w:fill="auto"/>
            <w:noWrap/>
            <w:vAlign w:val="center"/>
            <w:hideMark/>
          </w:tcPr>
          <w:p w14:paraId="310ED25B" w14:textId="77777777" w:rsidR="00165CD4" w:rsidRPr="00165CD4" w:rsidRDefault="00165CD4" w:rsidP="00165CD4">
            <w:pPr>
              <w:spacing w:after="0" w:line="240" w:lineRule="auto"/>
              <w:jc w:val="right"/>
              <w:rPr>
                <w:rFonts w:ascii="Arial" w:eastAsia="Times New Roman" w:hAnsi="Arial" w:cs="Arial"/>
                <w:sz w:val="10"/>
                <w:szCs w:val="20"/>
              </w:rPr>
            </w:pPr>
            <w:r>
              <w:rPr>
                <w:rFonts w:ascii="Arial" w:hAnsi="Arial"/>
                <w:sz w:val="10"/>
                <w:szCs w:val="20"/>
              </w:rPr>
              <w:t> </w:t>
            </w:r>
          </w:p>
        </w:tc>
        <w:tc>
          <w:tcPr>
            <w:tcW w:w="462" w:type="pct"/>
            <w:tcBorders>
              <w:top w:val="nil"/>
              <w:left w:val="nil"/>
              <w:bottom w:val="single" w:sz="8" w:space="0" w:color="auto"/>
              <w:right w:val="single" w:sz="4" w:space="0" w:color="D9D9D9"/>
            </w:tcBorders>
            <w:shd w:val="clear" w:color="auto" w:fill="auto"/>
            <w:noWrap/>
            <w:vAlign w:val="center"/>
            <w:hideMark/>
          </w:tcPr>
          <w:p w14:paraId="20A8C03B" w14:textId="77777777" w:rsidR="00165CD4" w:rsidRPr="00165CD4" w:rsidRDefault="00165CD4" w:rsidP="00165CD4">
            <w:pPr>
              <w:spacing w:after="0" w:line="240" w:lineRule="auto"/>
              <w:jc w:val="right"/>
              <w:rPr>
                <w:rFonts w:ascii="Arial" w:eastAsia="Times New Roman" w:hAnsi="Arial" w:cs="Arial"/>
                <w:sz w:val="10"/>
                <w:szCs w:val="20"/>
              </w:rPr>
            </w:pPr>
            <w:r>
              <w:rPr>
                <w:rFonts w:ascii="Arial" w:hAnsi="Arial"/>
                <w:sz w:val="10"/>
                <w:szCs w:val="20"/>
              </w:rPr>
              <w:t> </w:t>
            </w:r>
          </w:p>
        </w:tc>
        <w:tc>
          <w:tcPr>
            <w:tcW w:w="432" w:type="pct"/>
            <w:tcBorders>
              <w:top w:val="nil"/>
              <w:left w:val="nil"/>
              <w:bottom w:val="single" w:sz="8" w:space="0" w:color="auto"/>
              <w:right w:val="single" w:sz="4" w:space="0" w:color="D9D9D9"/>
            </w:tcBorders>
            <w:shd w:val="clear" w:color="auto" w:fill="auto"/>
            <w:noWrap/>
            <w:vAlign w:val="center"/>
            <w:hideMark/>
          </w:tcPr>
          <w:p w14:paraId="04E362BE" w14:textId="77777777" w:rsidR="00165CD4" w:rsidRPr="00165CD4" w:rsidRDefault="00165CD4" w:rsidP="00165CD4">
            <w:pPr>
              <w:spacing w:after="0" w:line="240" w:lineRule="auto"/>
              <w:jc w:val="right"/>
              <w:rPr>
                <w:rFonts w:ascii="Arial" w:eastAsia="Times New Roman" w:hAnsi="Arial" w:cs="Arial"/>
                <w:sz w:val="10"/>
                <w:szCs w:val="20"/>
              </w:rPr>
            </w:pPr>
            <w:r>
              <w:rPr>
                <w:rFonts w:ascii="Arial" w:hAnsi="Arial"/>
                <w:sz w:val="10"/>
                <w:szCs w:val="20"/>
              </w:rPr>
              <w:t> </w:t>
            </w:r>
          </w:p>
        </w:tc>
        <w:tc>
          <w:tcPr>
            <w:tcW w:w="500" w:type="pct"/>
            <w:tcBorders>
              <w:top w:val="nil"/>
              <w:left w:val="nil"/>
              <w:bottom w:val="single" w:sz="8" w:space="0" w:color="auto"/>
              <w:right w:val="nil"/>
            </w:tcBorders>
            <w:shd w:val="clear" w:color="FFFFFF" w:fill="D9D9D9"/>
            <w:noWrap/>
            <w:vAlign w:val="center"/>
            <w:hideMark/>
          </w:tcPr>
          <w:p w14:paraId="224FB531" w14:textId="77777777" w:rsidR="00165CD4" w:rsidRPr="00165CD4" w:rsidRDefault="00165CD4" w:rsidP="00165CD4">
            <w:pPr>
              <w:spacing w:after="0" w:line="240" w:lineRule="auto"/>
              <w:jc w:val="right"/>
              <w:rPr>
                <w:rFonts w:ascii="Arial" w:eastAsia="Times New Roman" w:hAnsi="Arial" w:cs="Arial"/>
                <w:sz w:val="10"/>
                <w:szCs w:val="18"/>
              </w:rPr>
            </w:pPr>
            <w:r>
              <w:rPr>
                <w:rFonts w:ascii="Arial" w:hAnsi="Arial"/>
                <w:sz w:val="10"/>
                <w:szCs w:val="18"/>
              </w:rPr>
              <w:t> </w:t>
            </w:r>
          </w:p>
        </w:tc>
      </w:tr>
      <w:tr w:rsidR="00165CD4" w:rsidRPr="00165CD4" w14:paraId="3591DD23" w14:textId="77777777" w:rsidTr="00165CD4">
        <w:trPr>
          <w:trHeight w:val="276"/>
        </w:trPr>
        <w:tc>
          <w:tcPr>
            <w:tcW w:w="79" w:type="pct"/>
            <w:tcBorders>
              <w:top w:val="nil"/>
              <w:left w:val="nil"/>
              <w:bottom w:val="nil"/>
              <w:right w:val="nil"/>
            </w:tcBorders>
            <w:shd w:val="clear" w:color="auto" w:fill="auto"/>
            <w:noWrap/>
            <w:vAlign w:val="bottom"/>
            <w:hideMark/>
          </w:tcPr>
          <w:p w14:paraId="43FA5AA1" w14:textId="77777777" w:rsidR="00165CD4" w:rsidRPr="00165CD4" w:rsidRDefault="00165CD4" w:rsidP="00165CD4">
            <w:pPr>
              <w:spacing w:after="0" w:line="240" w:lineRule="auto"/>
              <w:jc w:val="right"/>
              <w:rPr>
                <w:rFonts w:ascii="Arial" w:eastAsia="Times New Roman" w:hAnsi="Arial" w:cs="Arial"/>
                <w:sz w:val="10"/>
                <w:szCs w:val="18"/>
                <w:lang w:eastAsia="fr-FR"/>
              </w:rPr>
            </w:pPr>
          </w:p>
        </w:tc>
        <w:tc>
          <w:tcPr>
            <w:tcW w:w="4921" w:type="pct"/>
            <w:gridSpan w:val="6"/>
            <w:tcBorders>
              <w:top w:val="nil"/>
              <w:left w:val="nil"/>
              <w:bottom w:val="single" w:sz="8" w:space="0" w:color="auto"/>
              <w:right w:val="nil"/>
            </w:tcBorders>
            <w:shd w:val="clear" w:color="auto" w:fill="auto"/>
            <w:vAlign w:val="center"/>
            <w:hideMark/>
          </w:tcPr>
          <w:p w14:paraId="1D67E390" w14:textId="5B442FF4" w:rsidR="00165CD4" w:rsidRPr="00165CD4" w:rsidRDefault="00165CD4" w:rsidP="00165CD4">
            <w:pPr>
              <w:spacing w:after="0" w:line="240" w:lineRule="auto"/>
              <w:rPr>
                <w:rFonts w:ascii="Arial" w:eastAsia="Times New Roman" w:hAnsi="Arial" w:cs="Arial"/>
                <w:b/>
                <w:bCs/>
                <w:sz w:val="10"/>
                <w:szCs w:val="20"/>
              </w:rPr>
            </w:pPr>
            <w:r>
              <w:rPr>
                <w:rFonts w:ascii="Arial" w:hAnsi="Arial"/>
                <w:b/>
                <w:bCs/>
                <w:sz w:val="10"/>
                <w:szCs w:val="20"/>
              </w:rPr>
              <w:t>5.2 - Additional comments</w:t>
            </w:r>
          </w:p>
        </w:tc>
      </w:tr>
      <w:tr w:rsidR="00165CD4" w:rsidRPr="00165CD4" w14:paraId="3F3A0132" w14:textId="77777777" w:rsidTr="00165CD4">
        <w:trPr>
          <w:trHeight w:val="2010"/>
        </w:trPr>
        <w:tc>
          <w:tcPr>
            <w:tcW w:w="5000" w:type="pct"/>
            <w:gridSpan w:val="7"/>
            <w:tcBorders>
              <w:top w:val="single" w:sz="8" w:space="0" w:color="auto"/>
              <w:left w:val="nil"/>
              <w:bottom w:val="single" w:sz="8" w:space="0" w:color="auto"/>
              <w:right w:val="nil"/>
            </w:tcBorders>
            <w:shd w:val="clear" w:color="FFFFFF" w:fill="F2F2F2"/>
            <w:noWrap/>
            <w:hideMark/>
          </w:tcPr>
          <w:p w14:paraId="37DD48AE" w14:textId="77777777" w:rsidR="00165CD4" w:rsidRPr="00165CD4" w:rsidRDefault="00165CD4" w:rsidP="00165CD4">
            <w:pPr>
              <w:spacing w:after="0" w:line="240" w:lineRule="auto"/>
              <w:rPr>
                <w:rFonts w:ascii="Arial" w:eastAsia="Times New Roman" w:hAnsi="Arial" w:cs="Arial"/>
                <w:sz w:val="10"/>
                <w:szCs w:val="18"/>
              </w:rPr>
            </w:pPr>
            <w:r>
              <w:rPr>
                <w:rFonts w:ascii="Arial" w:hAnsi="Arial"/>
                <w:sz w:val="10"/>
                <w:szCs w:val="18"/>
              </w:rPr>
              <w:t> </w:t>
            </w:r>
          </w:p>
        </w:tc>
      </w:tr>
    </w:tbl>
    <w:p w14:paraId="00D7173B" w14:textId="77777777" w:rsidR="00165CD4" w:rsidRDefault="00165CD4" w:rsidP="007E4607">
      <w:pPr>
        <w:jc w:val="both"/>
      </w:pPr>
    </w:p>
    <w:p w14:paraId="39D419F4" w14:textId="3074831F" w:rsidR="0054268E" w:rsidRDefault="00C40BB6" w:rsidP="007E4607">
      <w:pPr>
        <w:jc w:val="both"/>
      </w:pPr>
      <w:r>
        <w:t>The data collected concerns remote sales and domestic payments (French issuers and merchants) only.</w:t>
      </w:r>
    </w:p>
    <w:p w14:paraId="7F6323E0" w14:textId="77777777" w:rsidR="001752B5" w:rsidRDefault="001752B5">
      <w:r>
        <w:br w:type="page"/>
      </w:r>
    </w:p>
    <w:p w14:paraId="18F47DAF" w14:textId="1BD33914" w:rsidR="00C40BB6" w:rsidRDefault="00C40BB6" w:rsidP="007E4607">
      <w:pPr>
        <w:jc w:val="both"/>
      </w:pPr>
      <w:r>
        <w:lastRenderedPageBreak/>
        <w:t xml:space="preserve">The following examples are provided to </w:t>
      </w:r>
      <w:r w:rsidR="00B812BF">
        <w:t xml:space="preserve">help </w:t>
      </w:r>
      <w:r>
        <w:t>clarify merchant classifications.</w:t>
      </w:r>
    </w:p>
    <w:tbl>
      <w:tblPr>
        <w:tblW w:w="9087" w:type="dxa"/>
        <w:tblInd w:w="55" w:type="dxa"/>
        <w:tblCellMar>
          <w:left w:w="70" w:type="dxa"/>
          <w:right w:w="70" w:type="dxa"/>
        </w:tblCellMar>
        <w:tblLook w:val="04A0" w:firstRow="1" w:lastRow="0" w:firstColumn="1" w:lastColumn="0" w:noHBand="0" w:noVBand="1"/>
      </w:tblPr>
      <w:tblGrid>
        <w:gridCol w:w="2425"/>
        <w:gridCol w:w="6662"/>
      </w:tblGrid>
      <w:tr w:rsidR="00AE5C3C" w:rsidRPr="005B346D" w14:paraId="5DC54C36" w14:textId="77777777" w:rsidTr="007E4607">
        <w:trPr>
          <w:trHeight w:val="750"/>
        </w:trPr>
        <w:tc>
          <w:tcPr>
            <w:tcW w:w="2425" w:type="dxa"/>
            <w:tcBorders>
              <w:top w:val="single" w:sz="12" w:space="0" w:color="0070C0"/>
              <w:left w:val="single" w:sz="12" w:space="0" w:color="0070C0"/>
              <w:bottom w:val="single" w:sz="4" w:space="0" w:color="0070C0"/>
              <w:right w:val="single" w:sz="12" w:space="0" w:color="0070C0"/>
            </w:tcBorders>
            <w:shd w:val="clear" w:color="auto" w:fill="auto"/>
            <w:vAlign w:val="center"/>
            <w:hideMark/>
          </w:tcPr>
          <w:p w14:paraId="76866675" w14:textId="77777777" w:rsidR="00AE5C3C" w:rsidRPr="005B346D" w:rsidRDefault="00AE5C3C" w:rsidP="007E4607">
            <w:pPr>
              <w:spacing w:after="0" w:line="240" w:lineRule="auto"/>
              <w:jc w:val="center"/>
              <w:rPr>
                <w:rFonts w:ascii="Calibri" w:eastAsia="Times New Roman" w:hAnsi="Calibri" w:cs="Times New Roman"/>
                <w:color w:val="0070C0"/>
              </w:rPr>
            </w:pPr>
            <w:r>
              <w:rPr>
                <w:rFonts w:ascii="Calibri" w:hAnsi="Calibri"/>
                <w:color w:val="0070C0"/>
              </w:rPr>
              <w:t>General and semi-general merchants</w:t>
            </w:r>
          </w:p>
        </w:tc>
        <w:tc>
          <w:tcPr>
            <w:tcW w:w="6662" w:type="dxa"/>
            <w:tcBorders>
              <w:top w:val="single" w:sz="12" w:space="0" w:color="0070C0"/>
              <w:left w:val="nil"/>
              <w:bottom w:val="single" w:sz="4" w:space="0" w:color="0070C0"/>
              <w:right w:val="single" w:sz="12" w:space="0" w:color="0070C0"/>
            </w:tcBorders>
            <w:shd w:val="clear" w:color="auto" w:fill="auto"/>
            <w:vAlign w:val="center"/>
          </w:tcPr>
          <w:p w14:paraId="1D158613" w14:textId="459CD5F0" w:rsidR="00AE5C3C" w:rsidRPr="005B346D" w:rsidRDefault="00AE5C3C" w:rsidP="007E4607">
            <w:pPr>
              <w:spacing w:after="0" w:line="240" w:lineRule="auto"/>
              <w:jc w:val="both"/>
              <w:rPr>
                <w:rFonts w:ascii="Calibri" w:eastAsia="Times New Roman" w:hAnsi="Calibri" w:cs="Times New Roman"/>
                <w:color w:val="000000"/>
              </w:rPr>
            </w:pPr>
            <w:r>
              <w:t>3suisses.fr, amazon.fr, auchan.fr, cdiscount.com, laredoute.fr, m6boutique.com, mistergooddeal.com, quelle.fr, vente-privee.com, vertbaudet.fr</w:t>
            </w:r>
          </w:p>
        </w:tc>
      </w:tr>
      <w:tr w:rsidR="00AE5C3C" w:rsidRPr="005B346D" w14:paraId="7B88B7D3"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75098E21" w14:textId="77777777" w:rsidR="00AE5C3C" w:rsidRDefault="00AE5C3C" w:rsidP="007E4607">
            <w:pPr>
              <w:spacing w:after="0" w:line="240" w:lineRule="auto"/>
              <w:jc w:val="center"/>
              <w:rPr>
                <w:rFonts w:ascii="Calibri" w:eastAsia="Times New Roman" w:hAnsi="Calibri" w:cs="Times New Roman"/>
                <w:color w:val="0070C0"/>
              </w:rPr>
            </w:pPr>
            <w:r>
              <w:rPr>
                <w:rFonts w:ascii="Calibri" w:hAnsi="Calibri"/>
                <w:color w:val="0070C0"/>
              </w:rPr>
              <w:t>Technical and cultural products (books, dvds, computer, hi-fi, photography and video equipment, household appliances, etc.)</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0A9E7204" w14:textId="1474B7CE" w:rsidR="00AE5C3C" w:rsidRPr="005B346D" w:rsidRDefault="00AE5C3C" w:rsidP="00FF57F7">
            <w:pPr>
              <w:spacing w:after="0" w:line="240" w:lineRule="auto"/>
              <w:jc w:val="both"/>
              <w:rPr>
                <w:rFonts w:ascii="Calibri" w:eastAsia="Times New Roman" w:hAnsi="Calibri" w:cs="Times New Roman"/>
                <w:color w:val="000000"/>
              </w:rPr>
            </w:pPr>
            <w:r>
              <w:rPr>
                <w:color w:val="000000"/>
              </w:rPr>
              <w:t>alapage.com, , darty.com, fnac.com, franceloisirs.com, ldlc.com, pixmania.com, rueducommerce.fr, topachat.com</w:t>
            </w:r>
          </w:p>
        </w:tc>
      </w:tr>
      <w:tr w:rsidR="00AE5C3C" w14:paraId="2486406D"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7011895" w14:textId="77777777" w:rsidR="00AE5C3C" w:rsidRDefault="00AE5C3C" w:rsidP="007E4607">
            <w:pPr>
              <w:spacing w:after="0" w:line="240" w:lineRule="auto"/>
              <w:jc w:val="center"/>
              <w:rPr>
                <w:rFonts w:ascii="Calibri" w:eastAsia="Times New Roman" w:hAnsi="Calibri" w:cs="Times New Roman"/>
                <w:color w:val="0070C0"/>
              </w:rPr>
            </w:pPr>
            <w:r>
              <w:rPr>
                <w:rFonts w:ascii="Calibri" w:hAnsi="Calibri"/>
                <w:color w:val="0070C0"/>
              </w:rPr>
              <w:t>Travel and transportation</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1018DA95" w14:textId="77777777" w:rsidR="00AE5C3C" w:rsidRDefault="00AE5C3C" w:rsidP="007E4607">
            <w:pPr>
              <w:spacing w:after="0" w:line="240" w:lineRule="auto"/>
              <w:jc w:val="both"/>
              <w:rPr>
                <w:rFonts w:ascii="Calibri" w:eastAsia="Times New Roman" w:hAnsi="Calibri" w:cs="Times New Roman"/>
                <w:color w:val="000000"/>
              </w:rPr>
            </w:pPr>
            <w:r>
              <w:rPr>
                <w:color w:val="000000"/>
              </w:rPr>
              <w:t>accorhotels.com, airfrance.fr, anyway.com, avis.fr, expedia.fr, nouvelles-frontieres.fr, opodo.fr, vivacances.fr, voyagesloisirs.com, voyages-sncf.com.</w:t>
            </w:r>
          </w:p>
        </w:tc>
      </w:tr>
      <w:tr w:rsidR="00AE5C3C" w:rsidRPr="001752B5" w14:paraId="54AEF614"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D625536" w14:textId="77777777" w:rsidR="00AE5C3C" w:rsidRDefault="00AE5C3C" w:rsidP="007E4607">
            <w:pPr>
              <w:spacing w:after="0" w:line="240" w:lineRule="auto"/>
              <w:jc w:val="center"/>
              <w:rPr>
                <w:rFonts w:ascii="Calibri" w:eastAsia="Times New Roman" w:hAnsi="Calibri" w:cs="Times New Roman"/>
                <w:color w:val="0070C0"/>
              </w:rPr>
            </w:pPr>
            <w:r>
              <w:rPr>
                <w:rFonts w:ascii="Calibri" w:hAnsi="Calibri"/>
                <w:color w:val="0070C0"/>
              </w:rPr>
              <w:t>Telephony and communication</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506BDA9F" w14:textId="62300252" w:rsidR="00AE5C3C" w:rsidRPr="00FF57F7" w:rsidRDefault="00AE5C3C">
            <w:pPr>
              <w:spacing w:after="0" w:line="240" w:lineRule="auto"/>
              <w:jc w:val="both"/>
              <w:rPr>
                <w:rFonts w:cstheme="minorHAnsi"/>
                <w:color w:val="000000"/>
              </w:rPr>
            </w:pPr>
            <w:r>
              <w:rPr>
                <w:color w:val="000000"/>
              </w:rPr>
              <w:t>bouyguestelecom.fr, free.fr, orange.fr, sfr.fr</w:t>
            </w:r>
          </w:p>
        </w:tc>
      </w:tr>
      <w:tr w:rsidR="00AE5C3C" w:rsidRPr="001752B5" w14:paraId="7DA3E66F"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572341D1" w14:textId="77777777" w:rsidR="00AE5C3C" w:rsidRDefault="00AE5C3C" w:rsidP="007E4607">
            <w:pPr>
              <w:spacing w:after="0" w:line="240" w:lineRule="auto"/>
              <w:jc w:val="center"/>
              <w:rPr>
                <w:rFonts w:ascii="Calibri" w:eastAsia="Times New Roman" w:hAnsi="Calibri" w:cs="Times New Roman"/>
                <w:color w:val="0070C0"/>
              </w:rPr>
            </w:pPr>
            <w:r>
              <w:rPr>
                <w:rFonts w:ascii="Calibri" w:hAnsi="Calibri"/>
                <w:color w:val="0070C0"/>
              </w:rPr>
              <w:t>Foodstuffs</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7EA0E5FC" w14:textId="77777777" w:rsidR="00AE5C3C" w:rsidRPr="00AE5C3C" w:rsidRDefault="00AE5C3C" w:rsidP="007E4607">
            <w:pPr>
              <w:spacing w:after="0" w:line="240" w:lineRule="auto"/>
              <w:jc w:val="both"/>
              <w:rPr>
                <w:rFonts w:cstheme="minorHAnsi"/>
                <w:color w:val="000000"/>
              </w:rPr>
            </w:pPr>
            <w:r>
              <w:rPr>
                <w:color w:val="000000"/>
              </w:rPr>
              <w:t>auchandirect.fr, houra.fr, ooshop.com, monoprix.com, telemarket.fr</w:t>
            </w:r>
          </w:p>
        </w:tc>
      </w:tr>
      <w:tr w:rsidR="00AE5C3C" w:rsidRPr="001752B5" w14:paraId="25EA0C7F"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13CC3420" w14:textId="77777777" w:rsidR="00AE5C3C" w:rsidRPr="00AE5C3C" w:rsidRDefault="00AE5C3C" w:rsidP="007E4607">
            <w:pPr>
              <w:spacing w:after="0" w:line="240" w:lineRule="auto"/>
              <w:jc w:val="center"/>
              <w:rPr>
                <w:rFonts w:ascii="Calibri" w:eastAsia="Times New Roman" w:hAnsi="Calibri" w:cs="Times New Roman"/>
                <w:color w:val="0070C0"/>
              </w:rPr>
            </w:pPr>
            <w:r>
              <w:rPr>
                <w:rFonts w:ascii="Calibri" w:hAnsi="Calibri"/>
                <w:color w:val="0070C0"/>
              </w:rPr>
              <w:t>Household goods, furnishings and DIY</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1BF87696" w14:textId="77777777" w:rsidR="00AE5C3C" w:rsidRPr="00AE5C3C" w:rsidRDefault="00AE5C3C" w:rsidP="007E4607">
            <w:pPr>
              <w:spacing w:after="0" w:line="240" w:lineRule="auto"/>
              <w:jc w:val="both"/>
              <w:rPr>
                <w:rFonts w:cstheme="minorHAnsi"/>
                <w:color w:val="000000"/>
              </w:rPr>
            </w:pPr>
            <w:r>
              <w:rPr>
                <w:color w:val="000000"/>
              </w:rPr>
              <w:t>but.fr, castorama.fr, conforama.fr, ikea.fr, leroymerlin.fr</w:t>
            </w:r>
          </w:p>
        </w:tc>
      </w:tr>
      <w:tr w:rsidR="00AE5C3C" w:rsidRPr="00AE5C3C" w14:paraId="019768DE"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1EEE19DD" w14:textId="77777777" w:rsidR="00AE5C3C" w:rsidRPr="00AE5C3C" w:rsidRDefault="00AE5C3C" w:rsidP="007E4607">
            <w:pPr>
              <w:spacing w:after="0" w:line="240" w:lineRule="auto"/>
              <w:jc w:val="center"/>
              <w:rPr>
                <w:rFonts w:ascii="Calibri" w:eastAsia="Times New Roman" w:hAnsi="Calibri" w:cs="Times New Roman"/>
                <w:color w:val="0070C0"/>
              </w:rPr>
            </w:pPr>
            <w:r>
              <w:rPr>
                <w:rFonts w:ascii="Calibri" w:hAnsi="Calibri"/>
                <w:color w:val="0070C0"/>
              </w:rPr>
              <w:t>Insurance</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2F62EFD4" w14:textId="77777777" w:rsidR="00AE5C3C" w:rsidRPr="00AE5C3C" w:rsidRDefault="00AE5C3C" w:rsidP="007E4607">
            <w:pPr>
              <w:spacing w:after="0" w:line="240" w:lineRule="auto"/>
              <w:jc w:val="both"/>
              <w:rPr>
                <w:rFonts w:cstheme="minorHAnsi"/>
                <w:color w:val="000000"/>
              </w:rPr>
            </w:pPr>
            <w:r>
              <w:rPr>
                <w:color w:val="000000"/>
              </w:rPr>
              <w:t>europ-assistance.fr, mondial-assistance.fr</w:t>
            </w:r>
          </w:p>
        </w:tc>
      </w:tr>
      <w:tr w:rsidR="00AE5C3C" w:rsidRPr="001F2BB0" w14:paraId="3ED1000C"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289EBFC0" w14:textId="77777777" w:rsidR="00AE5C3C" w:rsidRPr="00AE5C3C" w:rsidRDefault="00AE5C3C" w:rsidP="007E4607">
            <w:pPr>
              <w:spacing w:after="0" w:line="240" w:lineRule="auto"/>
              <w:jc w:val="center"/>
              <w:rPr>
                <w:rFonts w:ascii="Calibri" w:eastAsia="Times New Roman" w:hAnsi="Calibri" w:cs="Times New Roman"/>
                <w:color w:val="0070C0"/>
              </w:rPr>
            </w:pPr>
            <w:r>
              <w:rPr>
                <w:rFonts w:ascii="Calibri" w:hAnsi="Calibri"/>
                <w:color w:val="0070C0"/>
              </w:rPr>
              <w:t>Health, beauty and personal care</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6D2EFDF1" w14:textId="77777777" w:rsidR="00AE5C3C" w:rsidRPr="00B812BF" w:rsidRDefault="00AE5C3C" w:rsidP="007E4607">
            <w:pPr>
              <w:spacing w:after="0" w:line="240" w:lineRule="auto"/>
              <w:jc w:val="both"/>
              <w:rPr>
                <w:rFonts w:cstheme="minorHAnsi"/>
                <w:color w:val="000000"/>
                <w:lang w:val="fr-FR"/>
              </w:rPr>
            </w:pPr>
            <w:r w:rsidRPr="00B812BF">
              <w:rPr>
                <w:color w:val="000000"/>
                <w:lang w:val="fr-FR"/>
              </w:rPr>
              <w:t>ccbparis.fr, sephora.fr, yves-rocher.fr</w:t>
            </w:r>
          </w:p>
        </w:tc>
      </w:tr>
      <w:tr w:rsidR="00AE5C3C" w:rsidRPr="00AE5C3C" w14:paraId="4A915051"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72FBA765" w14:textId="77777777" w:rsidR="00AE5C3C" w:rsidRPr="00AE5C3C" w:rsidRDefault="00AE5C3C" w:rsidP="007E4607">
            <w:pPr>
              <w:spacing w:after="0" w:line="240" w:lineRule="auto"/>
              <w:jc w:val="center"/>
              <w:rPr>
                <w:rFonts w:ascii="Calibri" w:eastAsia="Times New Roman" w:hAnsi="Calibri" w:cs="Times New Roman"/>
                <w:color w:val="0070C0"/>
              </w:rPr>
            </w:pPr>
            <w:r>
              <w:rPr>
                <w:rFonts w:ascii="Calibri" w:hAnsi="Calibri"/>
                <w:color w:val="0070C0"/>
              </w:rPr>
              <w:t>Account loading and person-to-person sales</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3B51C221" w14:textId="5CBC1B8C" w:rsidR="00AE5C3C" w:rsidRPr="00AE5C3C" w:rsidRDefault="00AE5C3C" w:rsidP="00FF57F7">
            <w:pPr>
              <w:spacing w:after="0" w:line="240" w:lineRule="auto"/>
              <w:jc w:val="both"/>
              <w:rPr>
                <w:rFonts w:cstheme="minorHAnsi"/>
                <w:color w:val="000000"/>
              </w:rPr>
            </w:pPr>
            <w:r>
              <w:rPr>
                <w:color w:val="000000"/>
              </w:rPr>
              <w:t>ebay.fr, rakuten.com</w:t>
            </w:r>
          </w:p>
        </w:tc>
      </w:tr>
      <w:tr w:rsidR="00AE5C3C" w:rsidRPr="00AE5C3C" w14:paraId="15091522"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3C31595" w14:textId="77777777" w:rsidR="00AE5C3C" w:rsidRPr="00AE5C3C" w:rsidRDefault="00AE5C3C" w:rsidP="007E4607">
            <w:pPr>
              <w:spacing w:after="0" w:line="240" w:lineRule="auto"/>
              <w:jc w:val="center"/>
              <w:rPr>
                <w:rFonts w:ascii="Calibri" w:eastAsia="Times New Roman" w:hAnsi="Calibri" w:cs="Times New Roman"/>
                <w:color w:val="0070C0"/>
              </w:rPr>
            </w:pPr>
            <w:r>
              <w:rPr>
                <w:rFonts w:ascii="Calibri" w:hAnsi="Calibri"/>
                <w:color w:val="0070C0"/>
              </w:rPr>
              <w:t>Personal and professional services</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2E1FCD05" w14:textId="77777777" w:rsidR="00AE5C3C" w:rsidRPr="00AE5C3C" w:rsidRDefault="00AE5C3C" w:rsidP="007E4607">
            <w:pPr>
              <w:spacing w:after="0" w:line="240" w:lineRule="auto"/>
              <w:jc w:val="both"/>
              <w:rPr>
                <w:rFonts w:cstheme="minorHAnsi"/>
                <w:color w:val="000000"/>
              </w:rPr>
            </w:pPr>
            <w:r>
              <w:rPr>
                <w:color w:val="000000"/>
              </w:rPr>
              <w:t>store.apple.com, ticketnet.fr, ipsopresto.com, jm bruneau.fr, jpg.fr, ldlc pro.com, manutan.fr, officedepot.fr, raja.fr, vikingdirect.fr, welcomeoffice.com</w:t>
            </w:r>
          </w:p>
        </w:tc>
      </w:tr>
      <w:tr w:rsidR="00AE5C3C" w:rsidRPr="00AE5C3C" w14:paraId="033C2F94" w14:textId="77777777" w:rsidTr="007E4607">
        <w:trPr>
          <w:trHeight w:val="750"/>
        </w:trPr>
        <w:tc>
          <w:tcPr>
            <w:tcW w:w="2425"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187C6470" w14:textId="2C811D86" w:rsidR="00AE5C3C" w:rsidRPr="00AE5C3C" w:rsidRDefault="00AE5C3C" w:rsidP="007E4607">
            <w:pPr>
              <w:spacing w:after="0" w:line="240" w:lineRule="auto"/>
              <w:jc w:val="center"/>
              <w:rPr>
                <w:rFonts w:ascii="Calibri" w:eastAsia="Times New Roman" w:hAnsi="Calibri" w:cs="Times New Roman"/>
                <w:color w:val="0070C0"/>
              </w:rPr>
            </w:pPr>
            <w:r>
              <w:rPr>
                <w:rFonts w:ascii="Calibri" w:hAnsi="Calibri"/>
                <w:color w:val="0070C0"/>
              </w:rPr>
              <w:t>Online gaming</w:t>
            </w:r>
          </w:p>
        </w:tc>
        <w:tc>
          <w:tcPr>
            <w:tcW w:w="6662" w:type="dxa"/>
            <w:tcBorders>
              <w:top w:val="single" w:sz="12" w:space="0" w:color="0070C0"/>
              <w:left w:val="nil"/>
              <w:bottom w:val="single" w:sz="12" w:space="0" w:color="0070C0"/>
              <w:right w:val="single" w:sz="12" w:space="0" w:color="0070C0"/>
            </w:tcBorders>
            <w:shd w:val="clear" w:color="auto" w:fill="auto"/>
            <w:vAlign w:val="center"/>
          </w:tcPr>
          <w:p w14:paraId="7725E12B" w14:textId="77777777" w:rsidR="00AE5C3C" w:rsidRPr="00AE5C3C" w:rsidRDefault="00AE5C3C" w:rsidP="007E4607">
            <w:pPr>
              <w:spacing w:after="0" w:line="240" w:lineRule="auto"/>
              <w:jc w:val="both"/>
              <w:rPr>
                <w:rFonts w:cstheme="minorHAnsi"/>
                <w:color w:val="000000"/>
              </w:rPr>
            </w:pPr>
            <w:r>
              <w:rPr>
                <w:color w:val="000000"/>
              </w:rPr>
              <w:t>fdjeux.com, pmu.fr, betclic.fr</w:t>
            </w:r>
          </w:p>
        </w:tc>
      </w:tr>
    </w:tbl>
    <w:p w14:paraId="36F9E51B" w14:textId="0A3F94BE" w:rsidR="00AE5C3C" w:rsidRDefault="00AE5C3C" w:rsidP="0054268E"/>
    <w:p w14:paraId="4439E93B" w14:textId="6F6F09A9" w:rsidR="00BB6743" w:rsidRDefault="00BB6743" w:rsidP="00E01BC1">
      <w:pPr>
        <w:jc w:val="both"/>
      </w:pPr>
      <w:r>
        <w:t>The following Merchant Category Code (MCC) list can be used to help classify merchants in their correct categories:</w:t>
      </w:r>
    </w:p>
    <w:p w14:paraId="2BD71A53" w14:textId="433512E9" w:rsidR="007E4607" w:rsidRDefault="00B636B1" w:rsidP="00AE185E">
      <w:pPr>
        <w:jc w:val="center"/>
      </w:pPr>
      <w:r>
        <w:object w:dxaOrig="1533" w:dyaOrig="990" w14:anchorId="6325FBAD">
          <v:shape id="_x0000_i1026" type="#_x0000_t75" style="width:76.2pt;height:49.7pt" o:ole="">
            <v:imagedata r:id="rId16" o:title=""/>
          </v:shape>
          <o:OLEObject Type="Embed" ProgID="Excel.Sheet.12" ShapeID="_x0000_i1026" DrawAspect="Icon" ObjectID="_1766837189" r:id="rId17"/>
        </w:object>
      </w:r>
    </w:p>
    <w:p w14:paraId="7619A0A4" w14:textId="77777777" w:rsidR="007E4607" w:rsidRDefault="007E4607" w:rsidP="0054268E"/>
    <w:p w14:paraId="661ADD6C" w14:textId="5C19C1A0" w:rsidR="009E25B4" w:rsidRDefault="009E25B4">
      <w:r>
        <w:br w:type="page"/>
      </w:r>
    </w:p>
    <w:p w14:paraId="2FAD5346" w14:textId="77777777" w:rsidR="00E317AA" w:rsidRDefault="007E4607" w:rsidP="007E4607">
      <w:pPr>
        <w:rPr>
          <w:rFonts w:ascii="Cambria,Bold" w:hAnsi="Cambria,Bold" w:cs="Cambria,Bold"/>
          <w:b/>
          <w:bCs/>
          <w:color w:val="548DD4" w:themeColor="text2" w:themeTint="99"/>
          <w:sz w:val="24"/>
          <w:szCs w:val="24"/>
        </w:rPr>
      </w:pPr>
      <w:r>
        <w:rPr>
          <w:rFonts w:ascii="Cambria,Bold" w:hAnsi="Cambria,Bold"/>
          <w:b/>
          <w:bCs/>
          <w:color w:val="548DD4" w:themeColor="text2" w:themeTint="99"/>
          <w:sz w:val="24"/>
          <w:szCs w:val="24"/>
        </w:rPr>
        <w:lastRenderedPageBreak/>
        <w:t xml:space="preserve">5. Appendix </w:t>
      </w:r>
    </w:p>
    <w:p w14:paraId="27607282" w14:textId="77777777" w:rsidR="002E173C" w:rsidRDefault="002E173C">
      <w:pPr>
        <w:rPr>
          <w:rFonts w:ascii="Cambria,Bold" w:hAnsi="Cambria,Bold" w:cs="Cambria,Bold"/>
          <w:b/>
          <w:bCs/>
          <w:color w:val="548DD4" w:themeColor="text2" w:themeTint="99"/>
          <w:sz w:val="24"/>
          <w:szCs w:val="24"/>
          <w:u w:val="single"/>
        </w:rPr>
      </w:pPr>
      <w:r>
        <w:rPr>
          <w:rFonts w:ascii="Cambria,Bold" w:hAnsi="Cambria,Bold"/>
          <w:b/>
          <w:bCs/>
          <w:color w:val="548DD4" w:themeColor="text2" w:themeTint="99"/>
          <w:sz w:val="24"/>
          <w:szCs w:val="24"/>
          <w:u w:val="single"/>
        </w:rPr>
        <w:t>Glossary</w:t>
      </w:r>
    </w:p>
    <w:tbl>
      <w:tblPr>
        <w:tblW w:w="9102" w:type="dxa"/>
        <w:tblInd w:w="55" w:type="dxa"/>
        <w:tblCellMar>
          <w:left w:w="70" w:type="dxa"/>
          <w:right w:w="70" w:type="dxa"/>
        </w:tblCellMar>
        <w:tblLook w:val="04A0" w:firstRow="1" w:lastRow="0" w:firstColumn="1" w:lastColumn="0" w:noHBand="0" w:noVBand="1"/>
      </w:tblPr>
      <w:tblGrid>
        <w:gridCol w:w="250"/>
        <w:gridCol w:w="8852"/>
      </w:tblGrid>
      <w:tr w:rsidR="002E173C" w:rsidRPr="002E173C" w14:paraId="46C76B1D" w14:textId="77777777" w:rsidTr="00B72BD1">
        <w:trPr>
          <w:trHeight w:val="238"/>
        </w:trPr>
        <w:tc>
          <w:tcPr>
            <w:tcW w:w="250" w:type="dxa"/>
            <w:tcBorders>
              <w:top w:val="nil"/>
              <w:left w:val="nil"/>
              <w:bottom w:val="single" w:sz="8" w:space="0" w:color="auto"/>
              <w:right w:val="nil"/>
            </w:tcBorders>
            <w:shd w:val="clear" w:color="auto" w:fill="auto"/>
            <w:noWrap/>
            <w:vAlign w:val="bottom"/>
            <w:hideMark/>
          </w:tcPr>
          <w:p w14:paraId="3A15A30B" w14:textId="77777777" w:rsidR="002E173C" w:rsidRPr="002E173C" w:rsidRDefault="002E173C" w:rsidP="002E173C">
            <w:pPr>
              <w:spacing w:after="0" w:line="240" w:lineRule="auto"/>
              <w:rPr>
                <w:rFonts w:eastAsia="Times New Roman" w:cs="Arial"/>
                <w:sz w:val="20"/>
                <w:szCs w:val="20"/>
              </w:rPr>
            </w:pPr>
            <w:r>
              <w:rPr>
                <w:sz w:val="20"/>
                <w:szCs w:val="20"/>
              </w:rPr>
              <w:t> </w:t>
            </w:r>
          </w:p>
        </w:tc>
        <w:tc>
          <w:tcPr>
            <w:tcW w:w="8852" w:type="dxa"/>
            <w:tcBorders>
              <w:top w:val="nil"/>
              <w:left w:val="nil"/>
              <w:bottom w:val="single" w:sz="8" w:space="0" w:color="auto"/>
              <w:right w:val="nil"/>
            </w:tcBorders>
            <w:shd w:val="clear" w:color="auto" w:fill="auto"/>
            <w:noWrap/>
            <w:vAlign w:val="center"/>
            <w:hideMark/>
          </w:tcPr>
          <w:p w14:paraId="6B1CB137" w14:textId="77777777" w:rsidR="002E173C" w:rsidRPr="002E173C" w:rsidRDefault="002E173C" w:rsidP="002E173C">
            <w:pPr>
              <w:spacing w:after="0" w:line="240" w:lineRule="auto"/>
              <w:jc w:val="both"/>
              <w:rPr>
                <w:rFonts w:eastAsia="Times New Roman" w:cs="Arial"/>
                <w:b/>
                <w:bCs/>
                <w:sz w:val="20"/>
                <w:szCs w:val="20"/>
              </w:rPr>
            </w:pPr>
            <w:r>
              <w:rPr>
                <w:b/>
                <w:bCs/>
                <w:sz w:val="20"/>
                <w:szCs w:val="20"/>
              </w:rPr>
              <w:t>&gt; Acceptor</w:t>
            </w:r>
          </w:p>
        </w:tc>
      </w:tr>
      <w:tr w:rsidR="002E173C" w:rsidRPr="002E173C" w14:paraId="733CFEC6" w14:textId="77777777" w:rsidTr="002E173C">
        <w:trPr>
          <w:trHeight w:val="1200"/>
        </w:trPr>
        <w:tc>
          <w:tcPr>
            <w:tcW w:w="250" w:type="dxa"/>
            <w:tcBorders>
              <w:top w:val="nil"/>
              <w:left w:val="nil"/>
              <w:bottom w:val="nil"/>
              <w:right w:val="nil"/>
            </w:tcBorders>
            <w:shd w:val="clear" w:color="auto" w:fill="auto"/>
            <w:noWrap/>
            <w:vAlign w:val="bottom"/>
            <w:hideMark/>
          </w:tcPr>
          <w:p w14:paraId="6B65132C" w14:textId="77777777" w:rsidR="002E173C" w:rsidRPr="002E173C" w:rsidRDefault="002E173C" w:rsidP="002E173C">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1F9D5E72" w14:textId="77777777" w:rsidR="002E173C" w:rsidRPr="002E173C" w:rsidRDefault="002E173C" w:rsidP="002E173C">
            <w:pPr>
              <w:spacing w:after="0" w:line="240" w:lineRule="auto"/>
              <w:jc w:val="both"/>
              <w:rPr>
                <w:rFonts w:eastAsia="Times New Roman" w:cs="Arial"/>
                <w:sz w:val="20"/>
                <w:szCs w:val="20"/>
              </w:rPr>
            </w:pPr>
            <w:r>
              <w:rPr>
                <w:sz w:val="20"/>
                <w:szCs w:val="20"/>
              </w:rPr>
              <w:t>Any merchant, service provider and, more generally, legal entities or individuals under private or public law receiving funds in payment by card and having signed an acceptance agreement with their bank or card management body to this end.</w:t>
            </w:r>
          </w:p>
        </w:tc>
      </w:tr>
      <w:tr w:rsidR="002E173C" w:rsidRPr="002E173C" w14:paraId="022430C9" w14:textId="77777777" w:rsidTr="002E173C">
        <w:trPr>
          <w:trHeight w:val="420"/>
        </w:trPr>
        <w:tc>
          <w:tcPr>
            <w:tcW w:w="250" w:type="dxa"/>
            <w:tcBorders>
              <w:top w:val="nil"/>
              <w:left w:val="nil"/>
              <w:bottom w:val="single" w:sz="8" w:space="0" w:color="auto"/>
              <w:right w:val="nil"/>
            </w:tcBorders>
            <w:shd w:val="clear" w:color="auto" w:fill="auto"/>
            <w:noWrap/>
            <w:vAlign w:val="bottom"/>
            <w:hideMark/>
          </w:tcPr>
          <w:p w14:paraId="0606D716" w14:textId="77777777" w:rsidR="002E173C" w:rsidRPr="002E173C" w:rsidRDefault="002E173C" w:rsidP="002E173C">
            <w:pPr>
              <w:spacing w:after="0" w:line="240" w:lineRule="auto"/>
              <w:rPr>
                <w:rFonts w:eastAsia="Times New Roman" w:cs="Arial"/>
                <w:sz w:val="20"/>
                <w:szCs w:val="20"/>
              </w:rPr>
            </w:pPr>
            <w:r>
              <w:rPr>
                <w:sz w:val="20"/>
                <w:szCs w:val="20"/>
              </w:rPr>
              <w:t> </w:t>
            </w:r>
          </w:p>
        </w:tc>
        <w:tc>
          <w:tcPr>
            <w:tcW w:w="8852" w:type="dxa"/>
            <w:tcBorders>
              <w:top w:val="nil"/>
              <w:left w:val="nil"/>
              <w:bottom w:val="single" w:sz="8" w:space="0" w:color="auto"/>
              <w:right w:val="nil"/>
            </w:tcBorders>
            <w:shd w:val="clear" w:color="auto" w:fill="auto"/>
            <w:noWrap/>
            <w:vAlign w:val="center"/>
            <w:hideMark/>
          </w:tcPr>
          <w:p w14:paraId="4F7622DC" w14:textId="77777777" w:rsidR="002E173C" w:rsidRPr="002E173C" w:rsidRDefault="002E173C" w:rsidP="002E173C">
            <w:pPr>
              <w:spacing w:after="0" w:line="240" w:lineRule="auto"/>
              <w:jc w:val="both"/>
              <w:rPr>
                <w:rFonts w:eastAsia="Times New Roman" w:cs="Arial"/>
                <w:b/>
                <w:bCs/>
                <w:sz w:val="20"/>
                <w:szCs w:val="20"/>
              </w:rPr>
            </w:pPr>
            <w:r>
              <w:rPr>
                <w:b/>
                <w:bCs/>
                <w:sz w:val="20"/>
                <w:szCs w:val="20"/>
              </w:rPr>
              <w:t>&gt; Acquirer</w:t>
            </w:r>
          </w:p>
        </w:tc>
      </w:tr>
      <w:tr w:rsidR="002E173C" w:rsidRPr="002E173C" w14:paraId="35C482FF" w14:textId="77777777" w:rsidTr="002E173C">
        <w:trPr>
          <w:trHeight w:val="1530"/>
        </w:trPr>
        <w:tc>
          <w:tcPr>
            <w:tcW w:w="250" w:type="dxa"/>
            <w:tcBorders>
              <w:top w:val="nil"/>
              <w:left w:val="nil"/>
              <w:bottom w:val="nil"/>
              <w:right w:val="nil"/>
            </w:tcBorders>
            <w:shd w:val="clear" w:color="auto" w:fill="auto"/>
            <w:noWrap/>
            <w:vAlign w:val="bottom"/>
            <w:hideMark/>
          </w:tcPr>
          <w:p w14:paraId="417040D9" w14:textId="77777777" w:rsidR="002E173C" w:rsidRPr="002E173C" w:rsidRDefault="002E173C" w:rsidP="002E173C">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0A7496A9" w14:textId="77777777" w:rsidR="002E173C" w:rsidRPr="002E173C" w:rsidRDefault="002E173C" w:rsidP="002E173C">
            <w:pPr>
              <w:spacing w:after="0" w:line="240" w:lineRule="auto"/>
              <w:jc w:val="both"/>
              <w:rPr>
                <w:rFonts w:eastAsia="Times New Roman" w:cs="Arial"/>
                <w:sz w:val="20"/>
                <w:szCs w:val="20"/>
              </w:rPr>
            </w:pPr>
            <w:r>
              <w:rPr>
                <w:sz w:val="20"/>
                <w:szCs w:val="20"/>
              </w:rPr>
              <w:t>Credit institutions, institutions and services referred to in Article L. 518-1 of the French Monetary and Financial Code that are contractually bound to the acceptor and acquire data related to the transactions performed. The acquirer is notably responsible for collecting the transactions and settlements of acceptors, within the limits of the agreements in force.</w:t>
            </w:r>
          </w:p>
        </w:tc>
      </w:tr>
      <w:tr w:rsidR="002E173C" w:rsidRPr="002E173C" w14:paraId="102B36E4" w14:textId="77777777" w:rsidTr="002E173C">
        <w:trPr>
          <w:trHeight w:val="420"/>
        </w:trPr>
        <w:tc>
          <w:tcPr>
            <w:tcW w:w="250" w:type="dxa"/>
            <w:tcBorders>
              <w:top w:val="nil"/>
              <w:left w:val="nil"/>
              <w:bottom w:val="single" w:sz="8" w:space="0" w:color="auto"/>
              <w:right w:val="nil"/>
            </w:tcBorders>
            <w:shd w:val="clear" w:color="auto" w:fill="auto"/>
            <w:noWrap/>
            <w:vAlign w:val="bottom"/>
            <w:hideMark/>
          </w:tcPr>
          <w:p w14:paraId="4EE253EB" w14:textId="77777777" w:rsidR="002E173C" w:rsidRPr="002E173C" w:rsidRDefault="002E173C" w:rsidP="002E173C">
            <w:pPr>
              <w:spacing w:after="0" w:line="240" w:lineRule="auto"/>
              <w:rPr>
                <w:rFonts w:eastAsia="Times New Roman" w:cs="Arial"/>
                <w:sz w:val="20"/>
                <w:szCs w:val="20"/>
              </w:rPr>
            </w:pPr>
            <w:r>
              <w:rPr>
                <w:sz w:val="20"/>
                <w:szCs w:val="20"/>
              </w:rPr>
              <w:t> </w:t>
            </w:r>
          </w:p>
        </w:tc>
        <w:tc>
          <w:tcPr>
            <w:tcW w:w="8852" w:type="dxa"/>
            <w:tcBorders>
              <w:top w:val="nil"/>
              <w:left w:val="nil"/>
              <w:bottom w:val="single" w:sz="8" w:space="0" w:color="auto"/>
              <w:right w:val="nil"/>
            </w:tcBorders>
            <w:shd w:val="clear" w:color="auto" w:fill="auto"/>
            <w:noWrap/>
            <w:vAlign w:val="center"/>
            <w:hideMark/>
          </w:tcPr>
          <w:p w14:paraId="5BBA2BB2" w14:textId="77777777" w:rsidR="002E173C" w:rsidRPr="002E173C" w:rsidRDefault="002E173C" w:rsidP="002E173C">
            <w:pPr>
              <w:spacing w:after="0" w:line="240" w:lineRule="auto"/>
              <w:jc w:val="both"/>
              <w:rPr>
                <w:rFonts w:eastAsia="Times New Roman" w:cs="Arial"/>
                <w:b/>
                <w:bCs/>
                <w:sz w:val="20"/>
                <w:szCs w:val="20"/>
              </w:rPr>
            </w:pPr>
            <w:r>
              <w:rPr>
                <w:b/>
                <w:bCs/>
                <w:sz w:val="20"/>
                <w:szCs w:val="20"/>
              </w:rPr>
              <w:t>&gt; Counterfeit card</w:t>
            </w:r>
          </w:p>
        </w:tc>
      </w:tr>
      <w:tr w:rsidR="002E173C" w:rsidRPr="002E173C" w14:paraId="4ECD6E29" w14:textId="77777777" w:rsidTr="002E173C">
        <w:trPr>
          <w:trHeight w:val="690"/>
        </w:trPr>
        <w:tc>
          <w:tcPr>
            <w:tcW w:w="250" w:type="dxa"/>
            <w:tcBorders>
              <w:top w:val="nil"/>
              <w:left w:val="nil"/>
              <w:bottom w:val="nil"/>
              <w:right w:val="nil"/>
            </w:tcBorders>
            <w:shd w:val="clear" w:color="auto" w:fill="auto"/>
            <w:noWrap/>
            <w:vAlign w:val="bottom"/>
            <w:hideMark/>
          </w:tcPr>
          <w:p w14:paraId="64E57988" w14:textId="77777777" w:rsidR="002E173C" w:rsidRPr="002E173C" w:rsidRDefault="002E173C" w:rsidP="002E173C">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527432CB" w14:textId="77777777" w:rsidR="002E173C" w:rsidRPr="002E173C" w:rsidRDefault="002E173C" w:rsidP="002E173C">
            <w:pPr>
              <w:spacing w:after="0" w:line="240" w:lineRule="auto"/>
              <w:jc w:val="both"/>
              <w:rPr>
                <w:rFonts w:eastAsia="Times New Roman" w:cs="Arial"/>
                <w:sz w:val="20"/>
                <w:szCs w:val="20"/>
              </w:rPr>
            </w:pPr>
            <w:r>
              <w:rPr>
                <w:sz w:val="20"/>
                <w:szCs w:val="20"/>
              </w:rPr>
              <w:t>For UPT transactions: a card equipped with the data needed to fool the system.</w:t>
            </w:r>
          </w:p>
        </w:tc>
      </w:tr>
      <w:tr w:rsidR="002E173C" w:rsidRPr="002E173C" w14:paraId="6DC1C625" w14:textId="77777777" w:rsidTr="002E173C">
        <w:trPr>
          <w:trHeight w:val="900"/>
        </w:trPr>
        <w:tc>
          <w:tcPr>
            <w:tcW w:w="250" w:type="dxa"/>
            <w:tcBorders>
              <w:top w:val="nil"/>
              <w:left w:val="nil"/>
              <w:bottom w:val="nil"/>
              <w:right w:val="nil"/>
            </w:tcBorders>
            <w:shd w:val="clear" w:color="auto" w:fill="auto"/>
            <w:noWrap/>
            <w:vAlign w:val="bottom"/>
            <w:hideMark/>
          </w:tcPr>
          <w:p w14:paraId="3A08019F" w14:textId="77777777" w:rsidR="002E173C" w:rsidRPr="002E173C" w:rsidRDefault="002E173C" w:rsidP="002E173C">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60330BB9" w14:textId="77777777" w:rsidR="002E173C" w:rsidRDefault="002E173C" w:rsidP="002E173C">
            <w:pPr>
              <w:spacing w:after="0" w:line="240" w:lineRule="auto"/>
              <w:jc w:val="both"/>
              <w:rPr>
                <w:rFonts w:eastAsia="Times New Roman" w:cs="Arial"/>
                <w:sz w:val="20"/>
                <w:szCs w:val="20"/>
              </w:rPr>
            </w:pPr>
            <w:r>
              <w:rPr>
                <w:sz w:val="20"/>
                <w:szCs w:val="20"/>
              </w:rPr>
              <w:t>For face-to-face transactions: a card manufactured with more or less the same visual appearance, including security features, as an authentic card with real cardholder data, and designed to deceive an acceptor.</w:t>
            </w:r>
          </w:p>
          <w:p w14:paraId="2155A5AE" w14:textId="77777777" w:rsidR="002E173C" w:rsidRPr="002E173C" w:rsidRDefault="002E173C" w:rsidP="002E173C">
            <w:pPr>
              <w:spacing w:after="0" w:line="240" w:lineRule="auto"/>
              <w:jc w:val="both"/>
              <w:rPr>
                <w:rFonts w:eastAsia="Times New Roman" w:cs="Arial"/>
                <w:sz w:val="20"/>
                <w:szCs w:val="20"/>
                <w:lang w:eastAsia="fr-FR"/>
              </w:rPr>
            </w:pPr>
          </w:p>
        </w:tc>
      </w:tr>
      <w:tr w:rsidR="002E173C" w:rsidRPr="002E173C" w14:paraId="1172B4BC" w14:textId="77777777" w:rsidTr="009B22C3">
        <w:trPr>
          <w:trHeight w:val="420"/>
        </w:trPr>
        <w:tc>
          <w:tcPr>
            <w:tcW w:w="250" w:type="dxa"/>
            <w:tcBorders>
              <w:left w:val="nil"/>
              <w:bottom w:val="single" w:sz="8" w:space="0" w:color="auto"/>
              <w:right w:val="nil"/>
            </w:tcBorders>
            <w:shd w:val="clear" w:color="auto" w:fill="auto"/>
            <w:noWrap/>
            <w:vAlign w:val="bottom"/>
            <w:hideMark/>
          </w:tcPr>
          <w:p w14:paraId="70761973" w14:textId="77777777" w:rsidR="002E173C" w:rsidRPr="002E173C" w:rsidRDefault="002E173C" w:rsidP="002E173C">
            <w:pPr>
              <w:spacing w:after="0" w:line="240" w:lineRule="auto"/>
              <w:rPr>
                <w:rFonts w:eastAsia="Times New Roman" w:cs="Arial"/>
                <w:sz w:val="20"/>
                <w:szCs w:val="20"/>
              </w:rPr>
            </w:pPr>
            <w:r>
              <w:rPr>
                <w:sz w:val="20"/>
                <w:szCs w:val="20"/>
              </w:rPr>
              <w:t> </w:t>
            </w:r>
          </w:p>
        </w:tc>
        <w:tc>
          <w:tcPr>
            <w:tcW w:w="8852" w:type="dxa"/>
            <w:tcBorders>
              <w:left w:val="nil"/>
              <w:bottom w:val="single" w:sz="8" w:space="0" w:color="auto"/>
              <w:right w:val="nil"/>
            </w:tcBorders>
            <w:shd w:val="clear" w:color="auto" w:fill="auto"/>
            <w:noWrap/>
            <w:vAlign w:val="center"/>
            <w:hideMark/>
          </w:tcPr>
          <w:p w14:paraId="7DBB31CE" w14:textId="77777777" w:rsidR="002E173C" w:rsidRPr="002E173C" w:rsidRDefault="002E173C" w:rsidP="002E173C">
            <w:pPr>
              <w:spacing w:after="0" w:line="240" w:lineRule="auto"/>
              <w:jc w:val="both"/>
              <w:rPr>
                <w:rFonts w:eastAsia="Times New Roman" w:cs="Arial"/>
                <w:b/>
                <w:bCs/>
                <w:sz w:val="20"/>
                <w:szCs w:val="20"/>
              </w:rPr>
            </w:pPr>
            <w:r>
              <w:rPr>
                <w:b/>
                <w:bCs/>
                <w:sz w:val="20"/>
                <w:szCs w:val="20"/>
              </w:rPr>
              <w:t>&gt; Payment card</w:t>
            </w:r>
          </w:p>
        </w:tc>
      </w:tr>
      <w:tr w:rsidR="002E173C" w:rsidRPr="002E173C" w14:paraId="74EB295B" w14:textId="77777777" w:rsidTr="00B72BD1">
        <w:trPr>
          <w:trHeight w:val="351"/>
        </w:trPr>
        <w:tc>
          <w:tcPr>
            <w:tcW w:w="250" w:type="dxa"/>
            <w:tcBorders>
              <w:top w:val="nil"/>
              <w:left w:val="nil"/>
              <w:bottom w:val="nil"/>
              <w:right w:val="nil"/>
            </w:tcBorders>
            <w:shd w:val="clear" w:color="auto" w:fill="auto"/>
            <w:noWrap/>
            <w:vAlign w:val="bottom"/>
            <w:hideMark/>
          </w:tcPr>
          <w:p w14:paraId="788C3E60" w14:textId="77777777" w:rsidR="002E173C" w:rsidRPr="002E173C" w:rsidRDefault="002E173C" w:rsidP="002E173C">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3741DDEA" w14:textId="77777777" w:rsidR="002E173C" w:rsidRPr="002E173C" w:rsidRDefault="002E173C" w:rsidP="002E173C">
            <w:pPr>
              <w:spacing w:after="0" w:line="240" w:lineRule="auto"/>
              <w:jc w:val="both"/>
              <w:rPr>
                <w:rFonts w:eastAsia="Times New Roman" w:cs="Arial"/>
                <w:sz w:val="20"/>
                <w:szCs w:val="20"/>
              </w:rPr>
            </w:pPr>
            <w:r>
              <w:rPr>
                <w:sz w:val="20"/>
                <w:szCs w:val="20"/>
              </w:rPr>
              <w:t>The concept of a payment card is defined in Article L. 132-1 of the French Monetary and Financial Code as:</w:t>
            </w:r>
          </w:p>
        </w:tc>
      </w:tr>
      <w:tr w:rsidR="002E173C" w:rsidRPr="002E173C" w14:paraId="326FDDDA" w14:textId="77777777" w:rsidTr="002E173C">
        <w:trPr>
          <w:trHeight w:val="765"/>
        </w:trPr>
        <w:tc>
          <w:tcPr>
            <w:tcW w:w="250" w:type="dxa"/>
            <w:tcBorders>
              <w:top w:val="nil"/>
              <w:left w:val="nil"/>
              <w:bottom w:val="nil"/>
              <w:right w:val="nil"/>
            </w:tcBorders>
            <w:shd w:val="clear" w:color="auto" w:fill="auto"/>
            <w:noWrap/>
            <w:vAlign w:val="bottom"/>
            <w:hideMark/>
          </w:tcPr>
          <w:p w14:paraId="7C9E6F9B" w14:textId="77777777" w:rsidR="002E173C" w:rsidRPr="002E173C" w:rsidRDefault="002E173C" w:rsidP="002E173C">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652C8EB5" w14:textId="77777777" w:rsidR="002E173C" w:rsidRDefault="002E173C" w:rsidP="002E173C">
            <w:pPr>
              <w:spacing w:after="0" w:line="240" w:lineRule="auto"/>
              <w:jc w:val="both"/>
              <w:rPr>
                <w:rFonts w:eastAsia="Times New Roman" w:cs="Arial"/>
                <w:sz w:val="20"/>
                <w:szCs w:val="20"/>
              </w:rPr>
            </w:pPr>
            <w:r>
              <w:rPr>
                <w:sz w:val="20"/>
                <w:szCs w:val="20"/>
              </w:rPr>
              <w:t>“any card issued by a credit institution or by an institution or service referred to in Article L 518-1 that enables its holder to withdraw or transfer funds”.</w:t>
            </w:r>
          </w:p>
          <w:p w14:paraId="796BAA44" w14:textId="77777777" w:rsidR="00BE0301" w:rsidRPr="002E173C" w:rsidRDefault="00BE0301" w:rsidP="002E173C">
            <w:pPr>
              <w:spacing w:after="0" w:line="240" w:lineRule="auto"/>
              <w:jc w:val="both"/>
              <w:rPr>
                <w:rFonts w:eastAsia="Times New Roman" w:cs="Arial"/>
                <w:sz w:val="20"/>
                <w:szCs w:val="20"/>
                <w:lang w:eastAsia="fr-FR"/>
              </w:rPr>
            </w:pPr>
          </w:p>
        </w:tc>
      </w:tr>
      <w:tr w:rsidR="002E173C" w:rsidRPr="002E173C" w14:paraId="223B0A4B" w14:textId="77777777" w:rsidTr="002E173C">
        <w:trPr>
          <w:trHeight w:val="420"/>
        </w:trPr>
        <w:tc>
          <w:tcPr>
            <w:tcW w:w="250" w:type="dxa"/>
            <w:tcBorders>
              <w:top w:val="nil"/>
              <w:left w:val="nil"/>
              <w:bottom w:val="single" w:sz="8" w:space="0" w:color="auto"/>
              <w:right w:val="nil"/>
            </w:tcBorders>
            <w:shd w:val="clear" w:color="auto" w:fill="auto"/>
            <w:noWrap/>
            <w:vAlign w:val="bottom"/>
            <w:hideMark/>
          </w:tcPr>
          <w:p w14:paraId="7E3564FC" w14:textId="77777777" w:rsidR="002E173C" w:rsidRPr="002E173C" w:rsidRDefault="002E173C" w:rsidP="002E173C">
            <w:pPr>
              <w:spacing w:after="0" w:line="240" w:lineRule="auto"/>
              <w:rPr>
                <w:rFonts w:eastAsia="Times New Roman" w:cs="Arial"/>
                <w:sz w:val="20"/>
                <w:szCs w:val="20"/>
              </w:rPr>
            </w:pPr>
            <w:r>
              <w:rPr>
                <w:sz w:val="20"/>
                <w:szCs w:val="20"/>
              </w:rPr>
              <w:t> </w:t>
            </w:r>
          </w:p>
        </w:tc>
        <w:tc>
          <w:tcPr>
            <w:tcW w:w="8852" w:type="dxa"/>
            <w:tcBorders>
              <w:top w:val="nil"/>
              <w:left w:val="nil"/>
              <w:bottom w:val="single" w:sz="8" w:space="0" w:color="auto"/>
              <w:right w:val="nil"/>
            </w:tcBorders>
            <w:shd w:val="clear" w:color="auto" w:fill="auto"/>
            <w:noWrap/>
            <w:vAlign w:val="center"/>
            <w:hideMark/>
          </w:tcPr>
          <w:p w14:paraId="617009F6" w14:textId="77777777" w:rsidR="002E173C" w:rsidRPr="002E173C" w:rsidRDefault="002E173C" w:rsidP="002E173C">
            <w:pPr>
              <w:spacing w:after="0" w:line="240" w:lineRule="auto"/>
              <w:jc w:val="both"/>
              <w:rPr>
                <w:rFonts w:eastAsia="Times New Roman" w:cs="Arial"/>
                <w:b/>
                <w:bCs/>
                <w:sz w:val="20"/>
                <w:szCs w:val="20"/>
              </w:rPr>
            </w:pPr>
            <w:r>
              <w:rPr>
                <w:b/>
                <w:bCs/>
                <w:sz w:val="20"/>
                <w:szCs w:val="20"/>
              </w:rPr>
              <w:t>&gt; Issuer</w:t>
            </w:r>
          </w:p>
        </w:tc>
      </w:tr>
      <w:tr w:rsidR="002E173C" w:rsidRPr="002E173C" w14:paraId="4533B257" w14:textId="77777777" w:rsidTr="002E173C">
        <w:trPr>
          <w:trHeight w:val="705"/>
        </w:trPr>
        <w:tc>
          <w:tcPr>
            <w:tcW w:w="250" w:type="dxa"/>
            <w:tcBorders>
              <w:top w:val="nil"/>
              <w:left w:val="nil"/>
              <w:bottom w:val="nil"/>
              <w:right w:val="nil"/>
            </w:tcBorders>
            <w:shd w:val="clear" w:color="auto" w:fill="auto"/>
            <w:noWrap/>
            <w:vAlign w:val="bottom"/>
            <w:hideMark/>
          </w:tcPr>
          <w:p w14:paraId="4E06B69D" w14:textId="77777777" w:rsidR="002E173C" w:rsidRPr="002E173C" w:rsidRDefault="002E173C" w:rsidP="002E173C">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729876EE" w14:textId="77777777" w:rsidR="002E173C" w:rsidRDefault="002E173C" w:rsidP="002E173C">
            <w:pPr>
              <w:spacing w:after="0" w:line="240" w:lineRule="auto"/>
              <w:jc w:val="both"/>
              <w:rPr>
                <w:rFonts w:eastAsia="Times New Roman" w:cs="Arial"/>
                <w:sz w:val="20"/>
                <w:szCs w:val="20"/>
              </w:rPr>
            </w:pPr>
            <w:r>
              <w:rPr>
                <w:sz w:val="20"/>
                <w:szCs w:val="20"/>
              </w:rPr>
              <w:t>An organisation or its agent that has issued a payment card to a cardholder and is contractually bound to that cardholder.</w:t>
            </w:r>
          </w:p>
          <w:p w14:paraId="5E1776C1" w14:textId="77777777" w:rsidR="002E173C" w:rsidRPr="002E173C" w:rsidRDefault="002E173C" w:rsidP="002E173C">
            <w:pPr>
              <w:spacing w:after="0" w:line="240" w:lineRule="auto"/>
              <w:jc w:val="both"/>
              <w:rPr>
                <w:rFonts w:eastAsia="Times New Roman" w:cs="Arial"/>
                <w:sz w:val="20"/>
                <w:szCs w:val="20"/>
                <w:lang w:eastAsia="fr-FR"/>
              </w:rPr>
            </w:pPr>
          </w:p>
        </w:tc>
      </w:tr>
      <w:tr w:rsidR="002E173C" w:rsidRPr="002E173C" w14:paraId="139E3660" w14:textId="77777777" w:rsidTr="002E173C">
        <w:trPr>
          <w:trHeight w:val="420"/>
        </w:trPr>
        <w:tc>
          <w:tcPr>
            <w:tcW w:w="250" w:type="dxa"/>
            <w:tcBorders>
              <w:top w:val="nil"/>
              <w:left w:val="nil"/>
              <w:bottom w:val="single" w:sz="8" w:space="0" w:color="auto"/>
              <w:right w:val="nil"/>
            </w:tcBorders>
            <w:shd w:val="clear" w:color="auto" w:fill="auto"/>
            <w:noWrap/>
            <w:vAlign w:val="bottom"/>
            <w:hideMark/>
          </w:tcPr>
          <w:p w14:paraId="6B4D807B" w14:textId="77777777" w:rsidR="002E173C" w:rsidRPr="002E173C" w:rsidRDefault="002E173C" w:rsidP="002E173C">
            <w:pPr>
              <w:spacing w:after="0" w:line="240" w:lineRule="auto"/>
              <w:rPr>
                <w:rFonts w:eastAsia="Times New Roman" w:cs="Arial"/>
                <w:sz w:val="20"/>
                <w:szCs w:val="20"/>
              </w:rPr>
            </w:pPr>
            <w:r>
              <w:rPr>
                <w:sz w:val="20"/>
                <w:szCs w:val="20"/>
              </w:rPr>
              <w:t> </w:t>
            </w:r>
          </w:p>
        </w:tc>
        <w:tc>
          <w:tcPr>
            <w:tcW w:w="8852" w:type="dxa"/>
            <w:tcBorders>
              <w:top w:val="nil"/>
              <w:left w:val="nil"/>
              <w:bottom w:val="single" w:sz="8" w:space="0" w:color="auto"/>
              <w:right w:val="nil"/>
            </w:tcBorders>
            <w:shd w:val="clear" w:color="auto" w:fill="auto"/>
            <w:noWrap/>
            <w:vAlign w:val="center"/>
            <w:hideMark/>
          </w:tcPr>
          <w:p w14:paraId="1746D676" w14:textId="77777777" w:rsidR="002E173C" w:rsidRPr="002E173C" w:rsidRDefault="002E173C" w:rsidP="002E173C">
            <w:pPr>
              <w:spacing w:after="0" w:line="240" w:lineRule="auto"/>
              <w:jc w:val="both"/>
              <w:rPr>
                <w:rFonts w:eastAsia="Times New Roman" w:cs="Arial"/>
                <w:b/>
                <w:bCs/>
                <w:sz w:val="20"/>
                <w:szCs w:val="20"/>
              </w:rPr>
            </w:pPr>
            <w:r>
              <w:rPr>
                <w:b/>
                <w:bCs/>
                <w:sz w:val="20"/>
                <w:szCs w:val="20"/>
              </w:rPr>
              <w:t>&gt; Misappropriated card number</w:t>
            </w:r>
          </w:p>
        </w:tc>
      </w:tr>
      <w:tr w:rsidR="002E173C" w:rsidRPr="002E173C" w14:paraId="53B4B8EE" w14:textId="77777777" w:rsidTr="002E173C">
        <w:trPr>
          <w:trHeight w:val="720"/>
        </w:trPr>
        <w:tc>
          <w:tcPr>
            <w:tcW w:w="250" w:type="dxa"/>
            <w:tcBorders>
              <w:top w:val="nil"/>
              <w:left w:val="nil"/>
              <w:bottom w:val="nil"/>
              <w:right w:val="nil"/>
            </w:tcBorders>
            <w:shd w:val="clear" w:color="auto" w:fill="auto"/>
            <w:noWrap/>
            <w:vAlign w:val="bottom"/>
            <w:hideMark/>
          </w:tcPr>
          <w:p w14:paraId="3798BB9F" w14:textId="77777777" w:rsidR="002E173C" w:rsidRPr="002E173C" w:rsidRDefault="002E173C" w:rsidP="002E173C">
            <w:pPr>
              <w:spacing w:after="0" w:line="240" w:lineRule="auto"/>
              <w:rPr>
                <w:rFonts w:eastAsia="Times New Roman" w:cs="Arial"/>
                <w:sz w:val="20"/>
                <w:szCs w:val="20"/>
                <w:lang w:eastAsia="fr-FR"/>
              </w:rPr>
            </w:pPr>
          </w:p>
        </w:tc>
        <w:tc>
          <w:tcPr>
            <w:tcW w:w="8852" w:type="dxa"/>
            <w:tcBorders>
              <w:top w:val="nil"/>
              <w:left w:val="nil"/>
              <w:bottom w:val="nil"/>
              <w:right w:val="nil"/>
            </w:tcBorders>
            <w:shd w:val="clear" w:color="auto" w:fill="auto"/>
            <w:noWrap/>
            <w:vAlign w:val="center"/>
            <w:hideMark/>
          </w:tcPr>
          <w:p w14:paraId="796285D2" w14:textId="77777777" w:rsidR="002E173C" w:rsidRPr="002E173C" w:rsidRDefault="002E173C" w:rsidP="002E173C">
            <w:pPr>
              <w:spacing w:after="0" w:line="240" w:lineRule="auto"/>
              <w:jc w:val="both"/>
              <w:rPr>
                <w:rFonts w:eastAsia="Times New Roman" w:cs="Arial"/>
                <w:sz w:val="20"/>
                <w:szCs w:val="20"/>
              </w:rPr>
            </w:pPr>
            <w:r>
              <w:rPr>
                <w:sz w:val="20"/>
                <w:szCs w:val="20"/>
              </w:rPr>
              <w:t>A cardholder’s card number taken without his or her knowledge or created through card number generation, and used in remote transactions.</w:t>
            </w:r>
          </w:p>
        </w:tc>
      </w:tr>
    </w:tbl>
    <w:p w14:paraId="1893CF0C" w14:textId="77777777" w:rsidR="007E729F" w:rsidRDefault="007E729F" w:rsidP="007E4607">
      <w:pPr>
        <w:rPr>
          <w:rFonts w:ascii="Cambria,Bold" w:hAnsi="Cambria,Bold" w:cs="Cambria,Bold"/>
          <w:b/>
          <w:bCs/>
          <w:color w:val="548DD4" w:themeColor="text2" w:themeTint="99"/>
          <w:sz w:val="24"/>
          <w:szCs w:val="24"/>
          <w:u w:val="single"/>
        </w:rPr>
      </w:pPr>
    </w:p>
    <w:p w14:paraId="797AC530" w14:textId="77777777" w:rsidR="007E729F" w:rsidRDefault="007E729F" w:rsidP="007E4607">
      <w:pPr>
        <w:rPr>
          <w:rFonts w:ascii="Cambria,Bold" w:hAnsi="Cambria,Bold" w:cs="Cambria,Bold"/>
          <w:b/>
          <w:bCs/>
          <w:color w:val="548DD4" w:themeColor="text2" w:themeTint="99"/>
          <w:sz w:val="24"/>
          <w:szCs w:val="24"/>
          <w:u w:val="single"/>
        </w:rPr>
      </w:pPr>
    </w:p>
    <w:p w14:paraId="63AB48F6" w14:textId="77777777" w:rsidR="006243FD" w:rsidRDefault="006243FD">
      <w:pPr>
        <w:rPr>
          <w:rFonts w:ascii="Cambria,Bold" w:hAnsi="Cambria,Bold"/>
          <w:b/>
          <w:bCs/>
          <w:color w:val="548DD4" w:themeColor="text2" w:themeTint="99"/>
          <w:sz w:val="24"/>
          <w:szCs w:val="24"/>
          <w:u w:val="single"/>
        </w:rPr>
      </w:pPr>
      <w:r>
        <w:rPr>
          <w:rFonts w:ascii="Cambria,Bold" w:hAnsi="Cambria,Bold"/>
          <w:b/>
          <w:bCs/>
          <w:color w:val="548DD4" w:themeColor="text2" w:themeTint="99"/>
          <w:sz w:val="24"/>
          <w:szCs w:val="24"/>
          <w:u w:val="single"/>
        </w:rPr>
        <w:br w:type="page"/>
      </w:r>
    </w:p>
    <w:p w14:paraId="72404C2F" w14:textId="04C0633A" w:rsidR="00BA3CEE" w:rsidRDefault="00E317AA" w:rsidP="00BA3CEE">
      <w:pPr>
        <w:rPr>
          <w:rFonts w:ascii="Cambria,Bold" w:hAnsi="Cambria,Bold" w:cs="Cambria,Bold"/>
          <w:b/>
          <w:bCs/>
          <w:color w:val="548DD4" w:themeColor="text2" w:themeTint="99"/>
          <w:sz w:val="24"/>
          <w:szCs w:val="24"/>
          <w:u w:val="single"/>
        </w:rPr>
      </w:pPr>
      <w:r>
        <w:rPr>
          <w:rFonts w:ascii="Cambria,Bold" w:hAnsi="Cambria,Bold"/>
          <w:b/>
          <w:bCs/>
          <w:color w:val="548DD4" w:themeColor="text2" w:themeTint="99"/>
          <w:sz w:val="24"/>
          <w:szCs w:val="24"/>
          <w:u w:val="single"/>
        </w:rPr>
        <w:lastRenderedPageBreak/>
        <w:t xml:space="preserve"> Glossary</w:t>
      </w:r>
    </w:p>
    <w:tbl>
      <w:tblPr>
        <w:tblStyle w:val="Grilledutableau"/>
        <w:tblW w:w="0" w:type="auto"/>
        <w:tblLook w:val="04A0" w:firstRow="1" w:lastRow="0" w:firstColumn="1" w:lastColumn="0" w:noHBand="0" w:noVBand="1"/>
      </w:tblPr>
      <w:tblGrid>
        <w:gridCol w:w="4602"/>
        <w:gridCol w:w="4603"/>
      </w:tblGrid>
      <w:tr w:rsidR="002C5B28" w14:paraId="2E8B9FDF" w14:textId="77777777" w:rsidTr="002C5B28">
        <w:tc>
          <w:tcPr>
            <w:tcW w:w="4602" w:type="dxa"/>
          </w:tcPr>
          <w:p w14:paraId="7680B401" w14:textId="022E1284" w:rsidR="002C5B28" w:rsidRDefault="002C5B28" w:rsidP="00BA3CEE">
            <w:pPr>
              <w:rPr>
                <w:rFonts w:ascii="Cambria,Bold" w:hAnsi="Cambria,Bold" w:cs="Cambria,Bold"/>
                <w:b/>
                <w:bCs/>
                <w:color w:val="548DD4" w:themeColor="text2" w:themeTint="99"/>
                <w:sz w:val="24"/>
                <w:szCs w:val="24"/>
                <w:u w:val="single"/>
              </w:rPr>
            </w:pPr>
            <w:r>
              <w:rPr>
                <w:rFonts w:ascii="Cambria,Bold" w:hAnsi="Cambria,Bold"/>
                <w:b/>
                <w:bCs/>
                <w:color w:val="548DD4" w:themeColor="text2" w:themeTint="99"/>
                <w:sz w:val="24"/>
                <w:szCs w:val="24"/>
                <w:u w:val="single"/>
              </w:rPr>
              <w:t>France</w:t>
            </w:r>
          </w:p>
          <w:p w14:paraId="35EC53C3" w14:textId="77777777" w:rsidR="002C5B28" w:rsidRDefault="002C5B28" w:rsidP="00BA3CEE">
            <w:pPr>
              <w:rPr>
                <w:rFonts w:ascii="Cambria,Bold" w:hAnsi="Cambria,Bold" w:cs="Cambria,Bold"/>
                <w:b/>
                <w:bCs/>
                <w:color w:val="548DD4" w:themeColor="text2" w:themeTint="99"/>
                <w:sz w:val="24"/>
                <w:szCs w:val="24"/>
                <w:u w:val="single"/>
              </w:rPr>
            </w:pPr>
          </w:p>
          <w:tbl>
            <w:tblPr>
              <w:tblStyle w:val="Grilledutableau"/>
              <w:tblW w:w="0" w:type="auto"/>
              <w:tblLook w:val="04A0" w:firstRow="1" w:lastRow="0" w:firstColumn="1" w:lastColumn="0" w:noHBand="0" w:noVBand="1"/>
            </w:tblPr>
            <w:tblGrid>
              <w:gridCol w:w="4376"/>
            </w:tblGrid>
            <w:tr w:rsidR="002C5B28" w14:paraId="7A1BD526" w14:textId="77777777" w:rsidTr="002C5B28">
              <w:tc>
                <w:tcPr>
                  <w:tcW w:w="4376" w:type="dxa"/>
                </w:tcPr>
                <w:p w14:paraId="011ABEF1" w14:textId="212C77CE" w:rsidR="002C5B28" w:rsidRPr="00B8626D" w:rsidRDefault="002C5B28" w:rsidP="00BA3CEE">
                  <w:pPr>
                    <w:rPr>
                      <w:rFonts w:eastAsia="Times New Roman" w:cs="Arial"/>
                      <w:sz w:val="20"/>
                      <w:szCs w:val="20"/>
                    </w:rPr>
                  </w:pPr>
                  <w:r>
                    <w:rPr>
                      <w:sz w:val="20"/>
                      <w:szCs w:val="20"/>
                    </w:rPr>
                    <w:t>Metropolitan France</w:t>
                  </w:r>
                </w:p>
              </w:tc>
            </w:tr>
            <w:tr w:rsidR="002C5B28" w14:paraId="0FC940B8" w14:textId="77777777" w:rsidTr="00B8626D">
              <w:tc>
                <w:tcPr>
                  <w:tcW w:w="4376" w:type="dxa"/>
                  <w:shd w:val="clear" w:color="auto" w:fill="DBE5F1" w:themeFill="accent1" w:themeFillTint="33"/>
                </w:tcPr>
                <w:p w14:paraId="18CD1C74" w14:textId="5BCA4F71" w:rsidR="002C5B28" w:rsidRPr="00B8626D" w:rsidRDefault="002C5B28" w:rsidP="00BA3CEE">
                  <w:pPr>
                    <w:rPr>
                      <w:rFonts w:eastAsia="Times New Roman" w:cs="Arial"/>
                      <w:sz w:val="20"/>
                      <w:szCs w:val="20"/>
                    </w:rPr>
                  </w:pPr>
                  <w:r>
                    <w:rPr>
                      <w:sz w:val="20"/>
                      <w:szCs w:val="20"/>
                    </w:rPr>
                    <w:t>Overseas departments and regions:</w:t>
                  </w:r>
                  <w:r w:rsidR="008C5E79">
                    <w:rPr>
                      <w:rStyle w:val="Appelnotedebasdep"/>
                      <w:rFonts w:eastAsia="Times New Roman" w:cs="Arial"/>
                      <w:sz w:val="20"/>
                      <w:szCs w:val="20"/>
                      <w:lang w:eastAsia="fr-FR"/>
                    </w:rPr>
                    <w:footnoteReference w:id="5"/>
                  </w:r>
                  <w:r>
                    <w:rPr>
                      <w:sz w:val="20"/>
                      <w:szCs w:val="20"/>
                    </w:rPr>
                    <w:t xml:space="preserve"> </w:t>
                  </w:r>
                </w:p>
              </w:tc>
            </w:tr>
            <w:tr w:rsidR="002C5B28" w14:paraId="2FDFC13E" w14:textId="77777777" w:rsidTr="00B8626D">
              <w:tc>
                <w:tcPr>
                  <w:tcW w:w="4376" w:type="dxa"/>
                  <w:shd w:val="clear" w:color="auto" w:fill="DBE5F1" w:themeFill="accent1" w:themeFillTint="33"/>
                </w:tcPr>
                <w:p w14:paraId="36C49DA0" w14:textId="75C8F184" w:rsidR="002C5B28" w:rsidRPr="00B8626D" w:rsidRDefault="002C5B28" w:rsidP="00BA3CEE">
                  <w:pPr>
                    <w:rPr>
                      <w:rFonts w:eastAsia="Times New Roman" w:cs="Arial"/>
                      <w:sz w:val="20"/>
                      <w:szCs w:val="20"/>
                    </w:rPr>
                  </w:pPr>
                  <w:r>
                    <w:rPr>
                      <w:sz w:val="20"/>
                      <w:szCs w:val="20"/>
                    </w:rPr>
                    <w:t>Guadeloupe</w:t>
                  </w:r>
                </w:p>
              </w:tc>
            </w:tr>
            <w:tr w:rsidR="002C5B28" w14:paraId="003F5A44" w14:textId="77777777" w:rsidTr="00B8626D">
              <w:tc>
                <w:tcPr>
                  <w:tcW w:w="4376" w:type="dxa"/>
                  <w:shd w:val="clear" w:color="auto" w:fill="DBE5F1" w:themeFill="accent1" w:themeFillTint="33"/>
                </w:tcPr>
                <w:p w14:paraId="36053141" w14:textId="1F8F6CD3" w:rsidR="002C5B28" w:rsidRPr="00B8626D" w:rsidRDefault="00AB3FCA" w:rsidP="00BA3CEE">
                  <w:pPr>
                    <w:rPr>
                      <w:rFonts w:eastAsia="Times New Roman" w:cs="Arial"/>
                      <w:sz w:val="20"/>
                      <w:szCs w:val="20"/>
                    </w:rPr>
                  </w:pPr>
                  <w:r>
                    <w:rPr>
                      <w:sz w:val="20"/>
                      <w:szCs w:val="20"/>
                    </w:rPr>
                    <w:t>Martinique</w:t>
                  </w:r>
                </w:p>
              </w:tc>
            </w:tr>
            <w:tr w:rsidR="002C5B28" w14:paraId="1ED3AD58" w14:textId="77777777" w:rsidTr="00B8626D">
              <w:tc>
                <w:tcPr>
                  <w:tcW w:w="4376" w:type="dxa"/>
                  <w:shd w:val="clear" w:color="auto" w:fill="DBE5F1" w:themeFill="accent1" w:themeFillTint="33"/>
                </w:tcPr>
                <w:p w14:paraId="46A0B885" w14:textId="2E918E88" w:rsidR="002C5B28" w:rsidRPr="008C5E79" w:rsidRDefault="00AB3FCA" w:rsidP="00BA3CEE">
                  <w:pPr>
                    <w:rPr>
                      <w:rFonts w:eastAsia="Times New Roman" w:cs="Arial"/>
                      <w:sz w:val="20"/>
                      <w:szCs w:val="20"/>
                    </w:rPr>
                  </w:pPr>
                  <w:r>
                    <w:rPr>
                      <w:sz w:val="20"/>
                      <w:szCs w:val="20"/>
                    </w:rPr>
                    <w:t>Réunion</w:t>
                  </w:r>
                </w:p>
              </w:tc>
            </w:tr>
            <w:tr w:rsidR="002C5B28" w14:paraId="1D71907E" w14:textId="77777777" w:rsidTr="00B8626D">
              <w:tc>
                <w:tcPr>
                  <w:tcW w:w="4376" w:type="dxa"/>
                  <w:shd w:val="clear" w:color="auto" w:fill="DBE5F1" w:themeFill="accent1" w:themeFillTint="33"/>
                </w:tcPr>
                <w:p w14:paraId="0D47FAEA" w14:textId="03D6266C" w:rsidR="002C5B28" w:rsidRPr="008C5E79" w:rsidRDefault="00AB3FCA" w:rsidP="00BA3CEE">
                  <w:pPr>
                    <w:rPr>
                      <w:rFonts w:eastAsia="Times New Roman" w:cs="Arial"/>
                      <w:sz w:val="20"/>
                      <w:szCs w:val="20"/>
                    </w:rPr>
                  </w:pPr>
                  <w:r>
                    <w:rPr>
                      <w:sz w:val="20"/>
                      <w:szCs w:val="20"/>
                    </w:rPr>
                    <w:t>Saint Pierre and Miquelon</w:t>
                  </w:r>
                </w:p>
              </w:tc>
            </w:tr>
            <w:tr w:rsidR="002C5B28" w14:paraId="0CA028FC" w14:textId="77777777" w:rsidTr="00B8626D">
              <w:tc>
                <w:tcPr>
                  <w:tcW w:w="4376" w:type="dxa"/>
                  <w:shd w:val="clear" w:color="auto" w:fill="DBE5F1" w:themeFill="accent1" w:themeFillTint="33"/>
                </w:tcPr>
                <w:p w14:paraId="28C0EF11" w14:textId="12725898" w:rsidR="002C5B28" w:rsidRPr="008C5E79" w:rsidRDefault="00AB3FCA" w:rsidP="00BA3CEE">
                  <w:pPr>
                    <w:rPr>
                      <w:rFonts w:eastAsia="Times New Roman" w:cs="Arial"/>
                      <w:sz w:val="20"/>
                      <w:szCs w:val="20"/>
                    </w:rPr>
                  </w:pPr>
                  <w:r>
                    <w:rPr>
                      <w:sz w:val="20"/>
                      <w:szCs w:val="20"/>
                    </w:rPr>
                    <w:t>Mayotte</w:t>
                  </w:r>
                </w:p>
              </w:tc>
            </w:tr>
            <w:tr w:rsidR="002C5B28" w14:paraId="0F7C50EC" w14:textId="77777777" w:rsidTr="00B8626D">
              <w:tc>
                <w:tcPr>
                  <w:tcW w:w="4376" w:type="dxa"/>
                  <w:shd w:val="clear" w:color="auto" w:fill="DBE5F1" w:themeFill="accent1" w:themeFillTint="33"/>
                </w:tcPr>
                <w:p w14:paraId="082BB2F0" w14:textId="4F3EFD67" w:rsidR="002C5B28" w:rsidRPr="008C5E79" w:rsidRDefault="00AB3FCA" w:rsidP="00BA3CEE">
                  <w:pPr>
                    <w:rPr>
                      <w:rFonts w:eastAsia="Times New Roman" w:cs="Arial"/>
                      <w:sz w:val="20"/>
                      <w:szCs w:val="20"/>
                    </w:rPr>
                  </w:pPr>
                  <w:r>
                    <w:rPr>
                      <w:sz w:val="20"/>
                      <w:szCs w:val="20"/>
                    </w:rPr>
                    <w:t>Saint Barthélemy</w:t>
                  </w:r>
                </w:p>
              </w:tc>
            </w:tr>
            <w:tr w:rsidR="002C5B28" w14:paraId="3C09D9D1" w14:textId="77777777" w:rsidTr="00B8626D">
              <w:tc>
                <w:tcPr>
                  <w:tcW w:w="4376" w:type="dxa"/>
                  <w:shd w:val="clear" w:color="auto" w:fill="DBE5F1" w:themeFill="accent1" w:themeFillTint="33"/>
                </w:tcPr>
                <w:p w14:paraId="2F3915E6" w14:textId="6525B0E2" w:rsidR="002C5B28" w:rsidRPr="008C5E79" w:rsidRDefault="00AB3FCA" w:rsidP="00BA3CEE">
                  <w:pPr>
                    <w:rPr>
                      <w:rFonts w:eastAsia="Times New Roman" w:cs="Arial"/>
                      <w:sz w:val="20"/>
                      <w:szCs w:val="20"/>
                    </w:rPr>
                  </w:pPr>
                  <w:r>
                    <w:rPr>
                      <w:sz w:val="20"/>
                      <w:szCs w:val="20"/>
                    </w:rPr>
                    <w:t>Saint Martin</w:t>
                  </w:r>
                </w:p>
              </w:tc>
            </w:tr>
            <w:tr w:rsidR="0073311D" w14:paraId="6096CEEC" w14:textId="77777777" w:rsidTr="00B8626D">
              <w:tc>
                <w:tcPr>
                  <w:tcW w:w="4376" w:type="dxa"/>
                  <w:shd w:val="clear" w:color="auto" w:fill="DBE5F1" w:themeFill="accent1" w:themeFillTint="33"/>
                </w:tcPr>
                <w:p w14:paraId="4DAF7E8D" w14:textId="5959ADEC" w:rsidR="0073311D" w:rsidRDefault="0073311D" w:rsidP="00BA3CEE">
                  <w:pPr>
                    <w:rPr>
                      <w:sz w:val="20"/>
                      <w:szCs w:val="20"/>
                    </w:rPr>
                  </w:pPr>
                  <w:r>
                    <w:rPr>
                      <w:sz w:val="20"/>
                      <w:szCs w:val="20"/>
                    </w:rPr>
                    <w:t>French Guyana</w:t>
                  </w:r>
                </w:p>
              </w:tc>
            </w:tr>
            <w:tr w:rsidR="002C5B28" w14:paraId="59BBC309" w14:textId="77777777" w:rsidTr="002C5B28">
              <w:tc>
                <w:tcPr>
                  <w:tcW w:w="4376" w:type="dxa"/>
                </w:tcPr>
                <w:p w14:paraId="60F608C8" w14:textId="653109DC" w:rsidR="002C5B28" w:rsidRPr="008C5E79" w:rsidRDefault="00AB3FCA" w:rsidP="00BA3CEE">
                  <w:pPr>
                    <w:rPr>
                      <w:rFonts w:eastAsia="Times New Roman" w:cs="Arial"/>
                      <w:sz w:val="20"/>
                      <w:szCs w:val="20"/>
                    </w:rPr>
                  </w:pPr>
                  <w:r>
                    <w:rPr>
                      <w:sz w:val="20"/>
                      <w:szCs w:val="20"/>
                    </w:rPr>
                    <w:t>The Principality of Monaco</w:t>
                  </w:r>
                </w:p>
              </w:tc>
            </w:tr>
          </w:tbl>
          <w:p w14:paraId="63137A04" w14:textId="77777777" w:rsidR="002C5B28" w:rsidRDefault="002C5B28" w:rsidP="00BA3CEE">
            <w:pPr>
              <w:rPr>
                <w:rFonts w:ascii="Cambria,Bold" w:hAnsi="Cambria,Bold" w:cs="Cambria,Bold"/>
                <w:b/>
                <w:bCs/>
                <w:color w:val="548DD4" w:themeColor="text2" w:themeTint="99"/>
                <w:sz w:val="24"/>
                <w:szCs w:val="24"/>
                <w:u w:val="single"/>
              </w:rPr>
            </w:pPr>
          </w:p>
          <w:p w14:paraId="05FF2229" w14:textId="2D4D71AF" w:rsidR="002C5B28" w:rsidRDefault="002C5B28" w:rsidP="008C5E79">
            <w:pPr>
              <w:rPr>
                <w:rFonts w:ascii="Cambria,Bold" w:hAnsi="Cambria,Bold" w:cs="Cambria,Bold"/>
                <w:b/>
                <w:bCs/>
                <w:color w:val="548DD4" w:themeColor="text2" w:themeTint="99"/>
                <w:sz w:val="24"/>
                <w:szCs w:val="24"/>
                <w:u w:val="single"/>
              </w:rPr>
            </w:pPr>
          </w:p>
        </w:tc>
        <w:tc>
          <w:tcPr>
            <w:tcW w:w="4603" w:type="dxa"/>
          </w:tcPr>
          <w:p w14:paraId="7464AEA9" w14:textId="0457FC69" w:rsidR="002C5B28" w:rsidRDefault="002C5B28" w:rsidP="00BA3CEE">
            <w:pPr>
              <w:rPr>
                <w:rFonts w:ascii="Cambria,Bold" w:hAnsi="Cambria,Bold" w:cs="Cambria,Bold"/>
                <w:b/>
                <w:bCs/>
                <w:color w:val="548DD4" w:themeColor="text2" w:themeTint="99"/>
                <w:sz w:val="24"/>
                <w:szCs w:val="24"/>
                <w:u w:val="single"/>
              </w:rPr>
            </w:pPr>
            <w:r>
              <w:rPr>
                <w:rFonts w:ascii="Cambria,Bold" w:hAnsi="Cambria,Bold"/>
                <w:b/>
                <w:bCs/>
                <w:color w:val="548DD4" w:themeColor="text2" w:themeTint="99"/>
                <w:sz w:val="24"/>
                <w:szCs w:val="24"/>
                <w:u w:val="single"/>
              </w:rPr>
              <w:t>EEA countries (outside France)</w:t>
            </w:r>
          </w:p>
          <w:p w14:paraId="07EDBD5D" w14:textId="77777777" w:rsidR="002C5B28" w:rsidRDefault="002C5B28" w:rsidP="00BA3CEE">
            <w:pPr>
              <w:rPr>
                <w:rFonts w:ascii="Cambria,Bold" w:hAnsi="Cambria,Bold" w:cs="Cambria,Bold"/>
                <w:b/>
                <w:bCs/>
                <w:color w:val="548DD4" w:themeColor="text2" w:themeTint="99"/>
                <w:sz w:val="24"/>
                <w:szCs w:val="24"/>
                <w:u w:val="single"/>
              </w:rPr>
            </w:pPr>
          </w:p>
          <w:tbl>
            <w:tblPr>
              <w:tblW w:w="3996" w:type="pct"/>
              <w:tblBorders>
                <w:top w:val="outset" w:sz="6" w:space="0" w:color="auto"/>
                <w:left w:val="outset" w:sz="6" w:space="0" w:color="auto"/>
                <w:bottom w:val="outset" w:sz="6" w:space="0" w:color="auto"/>
                <w:right w:val="outset" w:sz="6" w:space="0" w:color="auto"/>
              </w:tblBorders>
              <w:shd w:val="clear" w:color="auto" w:fill="F5FAFF"/>
              <w:tblCellMar>
                <w:top w:w="30" w:type="dxa"/>
                <w:left w:w="30" w:type="dxa"/>
                <w:bottom w:w="30" w:type="dxa"/>
                <w:right w:w="30" w:type="dxa"/>
              </w:tblCellMar>
              <w:tblLook w:val="04A0" w:firstRow="1" w:lastRow="0" w:firstColumn="1" w:lastColumn="0" w:noHBand="0" w:noVBand="1"/>
            </w:tblPr>
            <w:tblGrid>
              <w:gridCol w:w="2501"/>
              <w:gridCol w:w="992"/>
            </w:tblGrid>
            <w:tr w:rsidR="002700B4" w:rsidRPr="00BD0410" w14:paraId="775B2A74"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B238383" w14:textId="77777777" w:rsidR="002700B4" w:rsidRPr="00565AF2" w:rsidRDefault="002700B4" w:rsidP="006E51E1">
                  <w:pPr>
                    <w:spacing w:after="0" w:line="240" w:lineRule="auto"/>
                    <w:rPr>
                      <w:rFonts w:eastAsia="Times New Roman" w:cstheme="minorHAnsi"/>
                      <w:sz w:val="20"/>
                      <w:szCs w:val="20"/>
                    </w:rPr>
                  </w:pPr>
                  <w:r>
                    <w:rPr>
                      <w:sz w:val="20"/>
                      <w:szCs w:val="20"/>
                    </w:rPr>
                    <w:t>Germany</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6C78F4FB" w14:textId="77777777" w:rsidR="002700B4" w:rsidRPr="00BD0410" w:rsidRDefault="002700B4" w:rsidP="006E51E1">
                  <w:pPr>
                    <w:spacing w:after="0" w:line="240" w:lineRule="auto"/>
                    <w:rPr>
                      <w:rFonts w:eastAsia="Times New Roman" w:cstheme="minorHAnsi"/>
                      <w:color w:val="333333"/>
                      <w:sz w:val="20"/>
                      <w:szCs w:val="20"/>
                    </w:rPr>
                  </w:pPr>
                  <w:r>
                    <w:rPr>
                      <w:color w:val="333333"/>
                      <w:sz w:val="20"/>
                      <w:szCs w:val="20"/>
                    </w:rPr>
                    <w:t>(DE)</w:t>
                  </w:r>
                </w:p>
              </w:tc>
            </w:tr>
            <w:tr w:rsidR="009F66F5" w:rsidRPr="00BD0410" w14:paraId="6DA02C2F"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103CBF9" w14:textId="77777777" w:rsidR="009F66F5" w:rsidRPr="00565AF2" w:rsidRDefault="009F66F5" w:rsidP="006E51E1">
                  <w:pPr>
                    <w:spacing w:after="0" w:line="240" w:lineRule="auto"/>
                    <w:rPr>
                      <w:rFonts w:eastAsia="Times New Roman" w:cstheme="minorHAnsi"/>
                      <w:sz w:val="20"/>
                      <w:szCs w:val="20"/>
                    </w:rPr>
                  </w:pPr>
                  <w:r>
                    <w:rPr>
                      <w:sz w:val="20"/>
                      <w:szCs w:val="20"/>
                    </w:rPr>
                    <w:t>Austria</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39B4F177" w14:textId="77777777" w:rsidR="009F66F5" w:rsidRPr="00A91E34" w:rsidRDefault="009F66F5" w:rsidP="006E51E1">
                  <w:pPr>
                    <w:spacing w:after="0" w:line="240" w:lineRule="auto"/>
                    <w:rPr>
                      <w:rFonts w:eastAsia="Times New Roman" w:cstheme="minorHAnsi"/>
                      <w:sz w:val="20"/>
                      <w:szCs w:val="20"/>
                    </w:rPr>
                  </w:pPr>
                  <w:r>
                    <w:rPr>
                      <w:sz w:val="20"/>
                      <w:szCs w:val="20"/>
                    </w:rPr>
                    <w:t>(AT)</w:t>
                  </w:r>
                </w:p>
              </w:tc>
            </w:tr>
            <w:tr w:rsidR="002C5B28" w:rsidRPr="00565AF2" w14:paraId="2FAADCF5"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9798474" w14:textId="77777777" w:rsidR="002C5B28" w:rsidRPr="00565AF2" w:rsidRDefault="002C5B28" w:rsidP="002C5B28">
                  <w:pPr>
                    <w:spacing w:after="0" w:line="240" w:lineRule="auto"/>
                    <w:rPr>
                      <w:rFonts w:eastAsia="Times New Roman" w:cstheme="minorHAnsi"/>
                      <w:sz w:val="20"/>
                      <w:szCs w:val="20"/>
                    </w:rPr>
                  </w:pPr>
                  <w:r>
                    <w:rPr>
                      <w:sz w:val="20"/>
                      <w:szCs w:val="20"/>
                    </w:rPr>
                    <w:t>Belgium</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35DB0DBD" w14:textId="77777777" w:rsidR="002C5B28" w:rsidRPr="00A91E34" w:rsidRDefault="002C5B28" w:rsidP="002C5B28">
                  <w:pPr>
                    <w:spacing w:after="0" w:line="240" w:lineRule="auto"/>
                    <w:rPr>
                      <w:rFonts w:eastAsia="Times New Roman" w:cstheme="minorHAnsi"/>
                      <w:sz w:val="20"/>
                      <w:szCs w:val="20"/>
                    </w:rPr>
                  </w:pPr>
                  <w:r>
                    <w:rPr>
                      <w:sz w:val="20"/>
                      <w:szCs w:val="20"/>
                    </w:rPr>
                    <w:t>(BE)</w:t>
                  </w:r>
                </w:p>
              </w:tc>
            </w:tr>
            <w:tr w:rsidR="002C5B28" w:rsidRPr="00565AF2" w14:paraId="7853FFFB"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8EB7FEA" w14:textId="77777777" w:rsidR="002C5B28" w:rsidRPr="00565AF2" w:rsidRDefault="002C5B28" w:rsidP="002C5B28">
                  <w:pPr>
                    <w:spacing w:after="0" w:line="240" w:lineRule="auto"/>
                    <w:rPr>
                      <w:rFonts w:eastAsia="Times New Roman" w:cstheme="minorHAnsi"/>
                      <w:sz w:val="20"/>
                      <w:szCs w:val="20"/>
                    </w:rPr>
                  </w:pPr>
                  <w:r>
                    <w:rPr>
                      <w:sz w:val="20"/>
                      <w:szCs w:val="20"/>
                    </w:rPr>
                    <w:t>Bulgaria</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D9716D7" w14:textId="77777777" w:rsidR="002C5B28" w:rsidRPr="00A91E34" w:rsidRDefault="002C5B28" w:rsidP="002C5B28">
                  <w:pPr>
                    <w:spacing w:after="0" w:line="240" w:lineRule="auto"/>
                    <w:rPr>
                      <w:rFonts w:eastAsia="Times New Roman" w:cstheme="minorHAnsi"/>
                      <w:sz w:val="20"/>
                      <w:szCs w:val="20"/>
                    </w:rPr>
                  </w:pPr>
                  <w:r>
                    <w:rPr>
                      <w:sz w:val="20"/>
                      <w:szCs w:val="20"/>
                    </w:rPr>
                    <w:t>(BG)</w:t>
                  </w:r>
                </w:p>
              </w:tc>
            </w:tr>
            <w:tr w:rsidR="009F66F5" w:rsidRPr="00A91E34" w14:paraId="0350FD98"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BC1E006" w14:textId="77777777" w:rsidR="009F66F5" w:rsidRPr="00565AF2" w:rsidRDefault="009F66F5" w:rsidP="006E51E1">
                  <w:pPr>
                    <w:spacing w:after="0" w:line="240" w:lineRule="auto"/>
                    <w:rPr>
                      <w:rFonts w:eastAsia="Times New Roman" w:cstheme="minorHAnsi"/>
                      <w:sz w:val="20"/>
                      <w:szCs w:val="20"/>
                    </w:rPr>
                  </w:pPr>
                  <w:r>
                    <w:rPr>
                      <w:sz w:val="20"/>
                      <w:szCs w:val="20"/>
                    </w:rPr>
                    <w:t>Cyprus</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7BC0677" w14:textId="77777777" w:rsidR="009F66F5" w:rsidRPr="00A91E34" w:rsidRDefault="009F66F5" w:rsidP="006E51E1">
                  <w:pPr>
                    <w:spacing w:after="0" w:line="240" w:lineRule="auto"/>
                    <w:rPr>
                      <w:rFonts w:eastAsia="Times New Roman" w:cstheme="minorHAnsi"/>
                      <w:sz w:val="20"/>
                      <w:szCs w:val="20"/>
                    </w:rPr>
                  </w:pPr>
                  <w:r>
                    <w:rPr>
                      <w:sz w:val="20"/>
                      <w:szCs w:val="20"/>
                    </w:rPr>
                    <w:t>(CY)</w:t>
                  </w:r>
                </w:p>
              </w:tc>
            </w:tr>
            <w:tr w:rsidR="009F66F5" w:rsidRPr="00A91E34" w14:paraId="2EE9EFE2"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DDCD8EC" w14:textId="77777777" w:rsidR="009F66F5" w:rsidRPr="00565AF2" w:rsidRDefault="009F66F5" w:rsidP="006E51E1">
                  <w:pPr>
                    <w:spacing w:after="0" w:line="240" w:lineRule="auto"/>
                    <w:rPr>
                      <w:rFonts w:eastAsia="Times New Roman" w:cstheme="minorHAnsi"/>
                      <w:sz w:val="20"/>
                      <w:szCs w:val="20"/>
                    </w:rPr>
                  </w:pPr>
                  <w:r>
                    <w:rPr>
                      <w:sz w:val="20"/>
                      <w:szCs w:val="20"/>
                    </w:rPr>
                    <w:t>Croatia</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C7AD27E" w14:textId="77777777" w:rsidR="009F66F5" w:rsidRPr="00A91E34" w:rsidRDefault="009F66F5" w:rsidP="006E51E1">
                  <w:pPr>
                    <w:spacing w:after="0" w:line="240" w:lineRule="auto"/>
                    <w:rPr>
                      <w:rFonts w:eastAsia="Times New Roman" w:cstheme="minorHAnsi"/>
                      <w:sz w:val="20"/>
                      <w:szCs w:val="20"/>
                    </w:rPr>
                  </w:pPr>
                  <w:r>
                    <w:rPr>
                      <w:sz w:val="20"/>
                      <w:szCs w:val="20"/>
                    </w:rPr>
                    <w:t>(HR)</w:t>
                  </w:r>
                </w:p>
              </w:tc>
            </w:tr>
            <w:tr w:rsidR="002C5B28" w:rsidRPr="00565AF2" w14:paraId="78142D58"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112E990" w14:textId="77777777" w:rsidR="002C5B28" w:rsidRPr="00565AF2" w:rsidRDefault="002C5B28" w:rsidP="002C5B28">
                  <w:pPr>
                    <w:spacing w:after="0" w:line="240" w:lineRule="auto"/>
                    <w:rPr>
                      <w:rFonts w:eastAsia="Times New Roman" w:cstheme="minorHAnsi"/>
                      <w:sz w:val="20"/>
                      <w:szCs w:val="20"/>
                    </w:rPr>
                  </w:pPr>
                  <w:r>
                    <w:rPr>
                      <w:sz w:val="20"/>
                      <w:szCs w:val="20"/>
                    </w:rPr>
                    <w:t>Denmark</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D97152E" w14:textId="77777777" w:rsidR="002C5B28" w:rsidRPr="00A91E34" w:rsidRDefault="002C5B28" w:rsidP="002C5B28">
                  <w:pPr>
                    <w:spacing w:after="0" w:line="240" w:lineRule="auto"/>
                    <w:rPr>
                      <w:rFonts w:eastAsia="Times New Roman" w:cstheme="minorHAnsi"/>
                      <w:sz w:val="20"/>
                      <w:szCs w:val="20"/>
                    </w:rPr>
                  </w:pPr>
                  <w:r>
                    <w:rPr>
                      <w:sz w:val="20"/>
                      <w:szCs w:val="20"/>
                    </w:rPr>
                    <w:t>(DK)</w:t>
                  </w:r>
                </w:p>
              </w:tc>
            </w:tr>
            <w:tr w:rsidR="009F66F5" w:rsidRPr="00BD0410" w14:paraId="43D0D8D1"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3E831076" w14:textId="77777777" w:rsidR="009F66F5" w:rsidRPr="00565AF2" w:rsidRDefault="009F66F5" w:rsidP="006E51E1">
                  <w:pPr>
                    <w:spacing w:after="0" w:line="240" w:lineRule="auto"/>
                    <w:rPr>
                      <w:rFonts w:eastAsia="Times New Roman" w:cstheme="minorHAnsi"/>
                      <w:sz w:val="20"/>
                      <w:szCs w:val="20"/>
                    </w:rPr>
                  </w:pPr>
                  <w:r>
                    <w:rPr>
                      <w:sz w:val="20"/>
                      <w:szCs w:val="20"/>
                    </w:rPr>
                    <w:t>Spain</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51B4FCA" w14:textId="77777777" w:rsidR="009F66F5" w:rsidRPr="00A91E34" w:rsidRDefault="009F66F5" w:rsidP="006E51E1">
                  <w:pPr>
                    <w:spacing w:after="0" w:line="240" w:lineRule="auto"/>
                    <w:rPr>
                      <w:rFonts w:eastAsia="Times New Roman" w:cstheme="minorHAnsi"/>
                      <w:sz w:val="20"/>
                      <w:szCs w:val="20"/>
                    </w:rPr>
                  </w:pPr>
                  <w:r>
                    <w:rPr>
                      <w:sz w:val="20"/>
                      <w:szCs w:val="20"/>
                    </w:rPr>
                    <w:t>(ES)</w:t>
                  </w:r>
                </w:p>
              </w:tc>
            </w:tr>
            <w:tr w:rsidR="009F66F5" w:rsidRPr="00BD0410" w14:paraId="333D1E94"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8902EF1" w14:textId="77777777" w:rsidR="009F66F5" w:rsidRPr="00565AF2" w:rsidRDefault="009F66F5" w:rsidP="006E51E1">
                  <w:pPr>
                    <w:spacing w:after="0" w:line="240" w:lineRule="auto"/>
                    <w:rPr>
                      <w:rFonts w:eastAsia="Times New Roman" w:cstheme="minorHAnsi"/>
                      <w:sz w:val="20"/>
                      <w:szCs w:val="20"/>
                    </w:rPr>
                  </w:pPr>
                  <w:r>
                    <w:rPr>
                      <w:sz w:val="20"/>
                      <w:szCs w:val="20"/>
                    </w:rPr>
                    <w:t>Estonia</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E65D22E" w14:textId="77777777" w:rsidR="009F66F5" w:rsidRPr="00BD0410" w:rsidRDefault="009F66F5" w:rsidP="006E51E1">
                  <w:pPr>
                    <w:spacing w:after="0" w:line="240" w:lineRule="auto"/>
                    <w:rPr>
                      <w:rFonts w:eastAsia="Times New Roman" w:cstheme="minorHAnsi"/>
                      <w:color w:val="333333"/>
                      <w:sz w:val="20"/>
                      <w:szCs w:val="20"/>
                    </w:rPr>
                  </w:pPr>
                  <w:r>
                    <w:rPr>
                      <w:color w:val="333333"/>
                      <w:sz w:val="20"/>
                      <w:szCs w:val="20"/>
                    </w:rPr>
                    <w:t>(EE)</w:t>
                  </w:r>
                </w:p>
              </w:tc>
            </w:tr>
            <w:tr w:rsidR="009F66F5" w:rsidRPr="00BD0410" w14:paraId="3C4D883A"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5B5102AD" w14:textId="77777777" w:rsidR="009F66F5" w:rsidRPr="00565AF2" w:rsidRDefault="009F66F5" w:rsidP="006E51E1">
                  <w:pPr>
                    <w:spacing w:after="0" w:line="240" w:lineRule="auto"/>
                    <w:rPr>
                      <w:rFonts w:eastAsia="Times New Roman" w:cstheme="minorHAnsi"/>
                      <w:sz w:val="20"/>
                      <w:szCs w:val="20"/>
                    </w:rPr>
                  </w:pPr>
                  <w:r>
                    <w:rPr>
                      <w:sz w:val="20"/>
                      <w:szCs w:val="20"/>
                    </w:rPr>
                    <w:t>Finland</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DE098AA" w14:textId="77777777" w:rsidR="009F66F5" w:rsidRPr="00BD0410" w:rsidRDefault="009F66F5" w:rsidP="006E51E1">
                  <w:pPr>
                    <w:spacing w:after="0" w:line="240" w:lineRule="auto"/>
                    <w:rPr>
                      <w:rFonts w:eastAsia="Times New Roman" w:cstheme="minorHAnsi"/>
                      <w:color w:val="333333"/>
                      <w:sz w:val="20"/>
                      <w:szCs w:val="20"/>
                    </w:rPr>
                  </w:pPr>
                  <w:r>
                    <w:rPr>
                      <w:color w:val="333333"/>
                      <w:sz w:val="20"/>
                      <w:szCs w:val="20"/>
                    </w:rPr>
                    <w:t>(FI)</w:t>
                  </w:r>
                </w:p>
              </w:tc>
            </w:tr>
            <w:tr w:rsidR="009F66F5" w:rsidRPr="00BD0410" w14:paraId="21F03551"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6A2A5E9C" w14:textId="77777777" w:rsidR="009F66F5" w:rsidRPr="00565AF2" w:rsidRDefault="009F66F5" w:rsidP="006E51E1">
                  <w:pPr>
                    <w:spacing w:after="0" w:line="240" w:lineRule="auto"/>
                    <w:rPr>
                      <w:rFonts w:eastAsia="Times New Roman" w:cstheme="minorHAnsi"/>
                      <w:sz w:val="20"/>
                      <w:szCs w:val="20"/>
                    </w:rPr>
                  </w:pPr>
                  <w:r>
                    <w:rPr>
                      <w:sz w:val="20"/>
                      <w:szCs w:val="20"/>
                    </w:rPr>
                    <w:t>Greece</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67C8466" w14:textId="77777777" w:rsidR="009F66F5" w:rsidRPr="00BD0410" w:rsidRDefault="009F66F5" w:rsidP="006E51E1">
                  <w:pPr>
                    <w:spacing w:after="0" w:line="240" w:lineRule="auto"/>
                    <w:rPr>
                      <w:rFonts w:eastAsia="Times New Roman" w:cstheme="minorHAnsi"/>
                      <w:color w:val="333333"/>
                      <w:sz w:val="20"/>
                      <w:szCs w:val="20"/>
                    </w:rPr>
                  </w:pPr>
                  <w:r>
                    <w:rPr>
                      <w:color w:val="333333"/>
                      <w:sz w:val="20"/>
                      <w:szCs w:val="20"/>
                    </w:rPr>
                    <w:t>(EL)</w:t>
                  </w:r>
                </w:p>
              </w:tc>
            </w:tr>
            <w:tr w:rsidR="009F66F5" w:rsidRPr="00A91E34" w14:paraId="7A745480"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3C6C555" w14:textId="77777777" w:rsidR="009F66F5" w:rsidRPr="00565AF2" w:rsidRDefault="009F66F5" w:rsidP="006E51E1">
                  <w:pPr>
                    <w:spacing w:after="0" w:line="240" w:lineRule="auto"/>
                    <w:rPr>
                      <w:rFonts w:eastAsia="Times New Roman" w:cstheme="minorHAnsi"/>
                      <w:sz w:val="20"/>
                      <w:szCs w:val="20"/>
                    </w:rPr>
                  </w:pPr>
                  <w:r>
                    <w:rPr>
                      <w:sz w:val="20"/>
                      <w:szCs w:val="20"/>
                    </w:rPr>
                    <w:t>Hungary</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B8CFA8A" w14:textId="77777777" w:rsidR="009F66F5" w:rsidRPr="00A91E34" w:rsidRDefault="009F66F5" w:rsidP="006E51E1">
                  <w:pPr>
                    <w:spacing w:after="0" w:line="240" w:lineRule="auto"/>
                    <w:rPr>
                      <w:rFonts w:eastAsia="Times New Roman" w:cstheme="minorHAnsi"/>
                      <w:sz w:val="20"/>
                      <w:szCs w:val="20"/>
                    </w:rPr>
                  </w:pPr>
                  <w:r>
                    <w:rPr>
                      <w:sz w:val="20"/>
                      <w:szCs w:val="20"/>
                    </w:rPr>
                    <w:t>(HU)</w:t>
                  </w:r>
                </w:p>
              </w:tc>
            </w:tr>
            <w:tr w:rsidR="009F66F5" w:rsidRPr="00BD0410" w14:paraId="1B46AF2D"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3398E0E" w14:textId="77777777" w:rsidR="009F66F5" w:rsidRPr="00565AF2" w:rsidRDefault="009F66F5" w:rsidP="006E51E1">
                  <w:pPr>
                    <w:spacing w:after="0" w:line="240" w:lineRule="auto"/>
                    <w:rPr>
                      <w:rFonts w:eastAsia="Times New Roman" w:cstheme="minorHAnsi"/>
                      <w:sz w:val="20"/>
                      <w:szCs w:val="20"/>
                    </w:rPr>
                  </w:pPr>
                  <w:r>
                    <w:rPr>
                      <w:sz w:val="20"/>
                      <w:szCs w:val="20"/>
                    </w:rPr>
                    <w:t>Ireland</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520B6C4D" w14:textId="77777777" w:rsidR="009F66F5" w:rsidRPr="00BD0410" w:rsidRDefault="009F66F5" w:rsidP="006E51E1">
                  <w:pPr>
                    <w:spacing w:after="0" w:line="240" w:lineRule="auto"/>
                    <w:rPr>
                      <w:rFonts w:eastAsia="Times New Roman" w:cstheme="minorHAnsi"/>
                      <w:color w:val="333333"/>
                      <w:sz w:val="20"/>
                      <w:szCs w:val="20"/>
                    </w:rPr>
                  </w:pPr>
                  <w:r>
                    <w:rPr>
                      <w:color w:val="333333"/>
                      <w:sz w:val="20"/>
                      <w:szCs w:val="20"/>
                    </w:rPr>
                    <w:t>(IE)</w:t>
                  </w:r>
                </w:p>
              </w:tc>
            </w:tr>
            <w:tr w:rsidR="009F66F5" w:rsidRPr="00A91E34" w14:paraId="34DB677D"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555194D" w14:textId="77777777" w:rsidR="009F66F5" w:rsidRPr="00565AF2" w:rsidRDefault="009F66F5" w:rsidP="006E51E1">
                  <w:pPr>
                    <w:spacing w:after="0" w:line="240" w:lineRule="auto"/>
                    <w:rPr>
                      <w:rFonts w:eastAsia="Times New Roman" w:cstheme="minorHAnsi"/>
                      <w:sz w:val="20"/>
                      <w:szCs w:val="20"/>
                    </w:rPr>
                  </w:pPr>
                  <w:r>
                    <w:rPr>
                      <w:sz w:val="20"/>
                      <w:szCs w:val="20"/>
                    </w:rPr>
                    <w:t>Iceland</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CB84929" w14:textId="77777777" w:rsidR="009F66F5" w:rsidRPr="00A91E34" w:rsidRDefault="009F66F5" w:rsidP="006E51E1">
                  <w:pPr>
                    <w:spacing w:after="0" w:line="240" w:lineRule="auto"/>
                    <w:rPr>
                      <w:rFonts w:eastAsia="Times New Roman" w:cstheme="minorHAnsi"/>
                      <w:sz w:val="20"/>
                      <w:szCs w:val="20"/>
                    </w:rPr>
                  </w:pPr>
                  <w:r>
                    <w:rPr>
                      <w:sz w:val="20"/>
                      <w:szCs w:val="20"/>
                    </w:rPr>
                    <w:t>(IS)</w:t>
                  </w:r>
                </w:p>
              </w:tc>
            </w:tr>
            <w:tr w:rsidR="009F66F5" w:rsidRPr="00A91E34" w14:paraId="606350A4"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62BCFA9A" w14:textId="77777777" w:rsidR="009F66F5" w:rsidRPr="00565AF2" w:rsidRDefault="009F66F5" w:rsidP="006E51E1">
                  <w:pPr>
                    <w:spacing w:after="0" w:line="240" w:lineRule="auto"/>
                    <w:rPr>
                      <w:rFonts w:eastAsia="Times New Roman" w:cstheme="minorHAnsi"/>
                      <w:sz w:val="20"/>
                      <w:szCs w:val="20"/>
                    </w:rPr>
                  </w:pPr>
                  <w:r>
                    <w:rPr>
                      <w:sz w:val="20"/>
                      <w:szCs w:val="20"/>
                    </w:rPr>
                    <w:t>Italy</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6E6D418" w14:textId="77777777" w:rsidR="009F66F5" w:rsidRPr="00A91E34" w:rsidRDefault="009F66F5" w:rsidP="006E51E1">
                  <w:pPr>
                    <w:spacing w:after="0" w:line="240" w:lineRule="auto"/>
                    <w:rPr>
                      <w:rFonts w:eastAsia="Times New Roman" w:cstheme="minorHAnsi"/>
                      <w:sz w:val="20"/>
                      <w:szCs w:val="20"/>
                    </w:rPr>
                  </w:pPr>
                  <w:r>
                    <w:rPr>
                      <w:sz w:val="20"/>
                      <w:szCs w:val="20"/>
                    </w:rPr>
                    <w:t>(IT)</w:t>
                  </w:r>
                </w:p>
              </w:tc>
            </w:tr>
            <w:tr w:rsidR="002C5B28" w:rsidRPr="00565AF2" w14:paraId="53650587"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2946295" w14:textId="77777777" w:rsidR="002C5B28" w:rsidRPr="00565AF2" w:rsidRDefault="002C5B28" w:rsidP="002C5B28">
                  <w:pPr>
                    <w:spacing w:after="0" w:line="240" w:lineRule="auto"/>
                    <w:rPr>
                      <w:rFonts w:eastAsia="Times New Roman" w:cstheme="minorHAnsi"/>
                      <w:sz w:val="20"/>
                      <w:szCs w:val="20"/>
                    </w:rPr>
                  </w:pPr>
                  <w:r>
                    <w:rPr>
                      <w:sz w:val="20"/>
                      <w:szCs w:val="20"/>
                    </w:rPr>
                    <w:t>Latvia</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196DB3A" w14:textId="77777777" w:rsidR="002C5B28" w:rsidRPr="00A91E34" w:rsidRDefault="002C5B28" w:rsidP="002C5B28">
                  <w:pPr>
                    <w:spacing w:after="0" w:line="240" w:lineRule="auto"/>
                    <w:rPr>
                      <w:rFonts w:eastAsia="Times New Roman" w:cstheme="minorHAnsi"/>
                      <w:sz w:val="20"/>
                      <w:szCs w:val="20"/>
                    </w:rPr>
                  </w:pPr>
                  <w:r>
                    <w:rPr>
                      <w:sz w:val="20"/>
                      <w:szCs w:val="20"/>
                    </w:rPr>
                    <w:t>(LV)</w:t>
                  </w:r>
                </w:p>
              </w:tc>
            </w:tr>
            <w:tr w:rsidR="009F66F5" w:rsidRPr="00BD0410" w14:paraId="23740A6E"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1B8A81E" w14:textId="77777777" w:rsidR="009F66F5" w:rsidRPr="00565AF2" w:rsidRDefault="009F66F5" w:rsidP="006E51E1">
                  <w:pPr>
                    <w:spacing w:after="0" w:line="240" w:lineRule="auto"/>
                    <w:rPr>
                      <w:rFonts w:eastAsia="Times New Roman" w:cstheme="minorHAnsi"/>
                      <w:sz w:val="20"/>
                      <w:szCs w:val="20"/>
                    </w:rPr>
                  </w:pPr>
                  <w:r>
                    <w:rPr>
                      <w:sz w:val="20"/>
                      <w:szCs w:val="20"/>
                    </w:rPr>
                    <w:t>Liechtenstein</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4163820" w14:textId="77777777" w:rsidR="009F66F5" w:rsidRPr="00A91E34" w:rsidRDefault="009F66F5" w:rsidP="006E51E1">
                  <w:pPr>
                    <w:spacing w:after="0" w:line="240" w:lineRule="auto"/>
                    <w:rPr>
                      <w:rFonts w:eastAsia="Times New Roman" w:cstheme="minorHAnsi"/>
                      <w:sz w:val="20"/>
                      <w:szCs w:val="20"/>
                    </w:rPr>
                  </w:pPr>
                  <w:r>
                    <w:rPr>
                      <w:sz w:val="20"/>
                      <w:szCs w:val="20"/>
                    </w:rPr>
                    <w:t>(LI)</w:t>
                  </w:r>
                </w:p>
              </w:tc>
            </w:tr>
            <w:tr w:rsidR="002C5B28" w:rsidRPr="00565AF2" w14:paraId="395A8E00"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6591F47E" w14:textId="77777777" w:rsidR="002C5B28" w:rsidRPr="00565AF2" w:rsidRDefault="002C5B28" w:rsidP="002C5B28">
                  <w:pPr>
                    <w:spacing w:after="0" w:line="240" w:lineRule="auto"/>
                    <w:rPr>
                      <w:rFonts w:eastAsia="Times New Roman" w:cstheme="minorHAnsi"/>
                      <w:sz w:val="20"/>
                      <w:szCs w:val="20"/>
                    </w:rPr>
                  </w:pPr>
                  <w:r>
                    <w:rPr>
                      <w:sz w:val="20"/>
                      <w:szCs w:val="20"/>
                    </w:rPr>
                    <w:t>Lithuania</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B5D678E" w14:textId="77777777" w:rsidR="002C5B28" w:rsidRPr="00A91E34" w:rsidRDefault="002C5B28" w:rsidP="002C5B28">
                  <w:pPr>
                    <w:spacing w:after="0" w:line="240" w:lineRule="auto"/>
                    <w:rPr>
                      <w:rFonts w:eastAsia="Times New Roman" w:cstheme="minorHAnsi"/>
                      <w:sz w:val="20"/>
                      <w:szCs w:val="20"/>
                    </w:rPr>
                  </w:pPr>
                  <w:r>
                    <w:rPr>
                      <w:sz w:val="20"/>
                      <w:szCs w:val="20"/>
                    </w:rPr>
                    <w:t>(LT)</w:t>
                  </w:r>
                </w:p>
              </w:tc>
            </w:tr>
            <w:tr w:rsidR="002C5B28" w:rsidRPr="00565AF2" w14:paraId="51C0B5FD"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6206608D" w14:textId="77777777" w:rsidR="002C5B28" w:rsidRPr="00565AF2" w:rsidRDefault="002C5B28" w:rsidP="002C5B28">
                  <w:pPr>
                    <w:spacing w:after="0" w:line="240" w:lineRule="auto"/>
                    <w:rPr>
                      <w:rFonts w:eastAsia="Times New Roman" w:cstheme="minorHAnsi"/>
                      <w:sz w:val="20"/>
                      <w:szCs w:val="20"/>
                    </w:rPr>
                  </w:pPr>
                  <w:r>
                    <w:rPr>
                      <w:sz w:val="20"/>
                      <w:szCs w:val="20"/>
                    </w:rPr>
                    <w:t>Luxembourg</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9B2F729" w14:textId="77777777" w:rsidR="002C5B28" w:rsidRPr="00A91E34" w:rsidRDefault="002C5B28" w:rsidP="002C5B28">
                  <w:pPr>
                    <w:spacing w:after="0" w:line="240" w:lineRule="auto"/>
                    <w:rPr>
                      <w:rFonts w:eastAsia="Times New Roman" w:cstheme="minorHAnsi"/>
                      <w:sz w:val="20"/>
                      <w:szCs w:val="20"/>
                    </w:rPr>
                  </w:pPr>
                  <w:r>
                    <w:rPr>
                      <w:sz w:val="20"/>
                      <w:szCs w:val="20"/>
                    </w:rPr>
                    <w:t>(LU)</w:t>
                  </w:r>
                </w:p>
              </w:tc>
            </w:tr>
            <w:tr w:rsidR="009F66F5" w:rsidRPr="00A91E34" w14:paraId="79F8A62E"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FEA9246" w14:textId="77777777" w:rsidR="009F66F5" w:rsidRPr="00565AF2" w:rsidRDefault="009F66F5" w:rsidP="006E51E1">
                  <w:pPr>
                    <w:spacing w:after="0" w:line="240" w:lineRule="auto"/>
                    <w:rPr>
                      <w:rFonts w:eastAsia="Times New Roman" w:cstheme="minorHAnsi"/>
                      <w:sz w:val="20"/>
                      <w:szCs w:val="20"/>
                    </w:rPr>
                  </w:pPr>
                  <w:r>
                    <w:rPr>
                      <w:sz w:val="20"/>
                      <w:szCs w:val="20"/>
                    </w:rPr>
                    <w:t>Malta</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64FA8622" w14:textId="77777777" w:rsidR="009F66F5" w:rsidRPr="00A91E34" w:rsidRDefault="009F66F5" w:rsidP="006E51E1">
                  <w:pPr>
                    <w:spacing w:after="0" w:line="240" w:lineRule="auto"/>
                    <w:rPr>
                      <w:rFonts w:eastAsia="Times New Roman" w:cstheme="minorHAnsi"/>
                      <w:sz w:val="20"/>
                      <w:szCs w:val="20"/>
                    </w:rPr>
                  </w:pPr>
                  <w:r>
                    <w:rPr>
                      <w:sz w:val="20"/>
                      <w:szCs w:val="20"/>
                    </w:rPr>
                    <w:t>(MT)</w:t>
                  </w:r>
                </w:p>
              </w:tc>
            </w:tr>
            <w:tr w:rsidR="009F66F5" w:rsidRPr="00A91E34" w14:paraId="29BE0CFE"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3CD178F" w14:textId="77777777" w:rsidR="009F66F5" w:rsidRPr="00565AF2" w:rsidRDefault="009F66F5" w:rsidP="006E51E1">
                  <w:pPr>
                    <w:spacing w:after="0" w:line="240" w:lineRule="auto"/>
                    <w:rPr>
                      <w:rFonts w:eastAsia="Times New Roman" w:cstheme="minorHAnsi"/>
                      <w:sz w:val="20"/>
                      <w:szCs w:val="20"/>
                    </w:rPr>
                  </w:pPr>
                  <w:r>
                    <w:rPr>
                      <w:sz w:val="20"/>
                      <w:szCs w:val="20"/>
                    </w:rPr>
                    <w:t>Norway</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3E0D929B" w14:textId="77777777" w:rsidR="009F66F5" w:rsidRPr="00A91E34" w:rsidRDefault="009F66F5" w:rsidP="006E51E1">
                  <w:pPr>
                    <w:spacing w:after="0" w:line="240" w:lineRule="auto"/>
                    <w:rPr>
                      <w:rFonts w:eastAsia="Times New Roman" w:cstheme="minorHAnsi"/>
                      <w:sz w:val="20"/>
                      <w:szCs w:val="20"/>
                    </w:rPr>
                  </w:pPr>
                  <w:r>
                    <w:rPr>
                      <w:sz w:val="20"/>
                      <w:szCs w:val="20"/>
                    </w:rPr>
                    <w:t>(NO)</w:t>
                  </w:r>
                </w:p>
              </w:tc>
            </w:tr>
            <w:tr w:rsidR="009F66F5" w:rsidRPr="00A91E34" w14:paraId="51707485"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530C3F20" w14:textId="77777777" w:rsidR="009F66F5" w:rsidRPr="00565AF2" w:rsidRDefault="009F66F5" w:rsidP="006E51E1">
                  <w:pPr>
                    <w:spacing w:after="0" w:line="240" w:lineRule="auto"/>
                    <w:rPr>
                      <w:rFonts w:eastAsia="Times New Roman" w:cstheme="minorHAnsi"/>
                      <w:sz w:val="20"/>
                      <w:szCs w:val="20"/>
                    </w:rPr>
                  </w:pPr>
                  <w:r>
                    <w:rPr>
                      <w:sz w:val="20"/>
                      <w:szCs w:val="20"/>
                    </w:rPr>
                    <w:t>Netherlands</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7DE97C1" w14:textId="77777777" w:rsidR="009F66F5" w:rsidRPr="00A91E34" w:rsidRDefault="009F66F5" w:rsidP="006E51E1">
                  <w:pPr>
                    <w:spacing w:after="0" w:line="240" w:lineRule="auto"/>
                    <w:rPr>
                      <w:rFonts w:eastAsia="Times New Roman" w:cstheme="minorHAnsi"/>
                      <w:sz w:val="20"/>
                      <w:szCs w:val="20"/>
                    </w:rPr>
                  </w:pPr>
                  <w:r>
                    <w:rPr>
                      <w:sz w:val="20"/>
                      <w:szCs w:val="20"/>
                    </w:rPr>
                    <w:t>(NL)</w:t>
                  </w:r>
                </w:p>
              </w:tc>
            </w:tr>
            <w:tr w:rsidR="002C5B28" w:rsidRPr="00565AF2" w14:paraId="72E964D1"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557253D" w14:textId="77777777" w:rsidR="002C5B28" w:rsidRPr="00565AF2" w:rsidRDefault="002C5B28" w:rsidP="002C5B28">
                  <w:pPr>
                    <w:spacing w:after="0" w:line="240" w:lineRule="auto"/>
                    <w:rPr>
                      <w:rFonts w:eastAsia="Times New Roman" w:cstheme="minorHAnsi"/>
                      <w:sz w:val="20"/>
                      <w:szCs w:val="20"/>
                    </w:rPr>
                  </w:pPr>
                  <w:r>
                    <w:rPr>
                      <w:sz w:val="20"/>
                      <w:szCs w:val="20"/>
                    </w:rPr>
                    <w:t>Poland</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B3C49D6" w14:textId="77777777" w:rsidR="002C5B28" w:rsidRPr="00A91E34" w:rsidRDefault="002C5B28" w:rsidP="002C5B28">
                  <w:pPr>
                    <w:spacing w:after="0" w:line="240" w:lineRule="auto"/>
                    <w:rPr>
                      <w:rFonts w:eastAsia="Times New Roman" w:cstheme="minorHAnsi"/>
                      <w:sz w:val="20"/>
                      <w:szCs w:val="20"/>
                    </w:rPr>
                  </w:pPr>
                  <w:r>
                    <w:rPr>
                      <w:sz w:val="20"/>
                      <w:szCs w:val="20"/>
                    </w:rPr>
                    <w:t>(PL)</w:t>
                  </w:r>
                </w:p>
              </w:tc>
            </w:tr>
            <w:tr w:rsidR="002C5B28" w:rsidRPr="00565AF2" w14:paraId="35B5869F"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ECD8A1A" w14:textId="77777777" w:rsidR="002C5B28" w:rsidRPr="00565AF2" w:rsidRDefault="002C5B28" w:rsidP="002C5B28">
                  <w:pPr>
                    <w:spacing w:after="0" w:line="240" w:lineRule="auto"/>
                    <w:rPr>
                      <w:rFonts w:eastAsia="Times New Roman" w:cstheme="minorHAnsi"/>
                      <w:sz w:val="20"/>
                      <w:szCs w:val="20"/>
                    </w:rPr>
                  </w:pPr>
                  <w:r>
                    <w:rPr>
                      <w:sz w:val="20"/>
                      <w:szCs w:val="20"/>
                    </w:rPr>
                    <w:t>Portugal</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E38021B" w14:textId="77777777" w:rsidR="002C5B28" w:rsidRPr="00A91E34" w:rsidRDefault="002C5B28" w:rsidP="002C5B28">
                  <w:pPr>
                    <w:spacing w:after="0" w:line="240" w:lineRule="auto"/>
                    <w:rPr>
                      <w:rFonts w:eastAsia="Times New Roman" w:cstheme="minorHAnsi"/>
                      <w:sz w:val="20"/>
                      <w:szCs w:val="20"/>
                    </w:rPr>
                  </w:pPr>
                  <w:r>
                    <w:rPr>
                      <w:sz w:val="20"/>
                      <w:szCs w:val="20"/>
                    </w:rPr>
                    <w:t>(PT)</w:t>
                  </w:r>
                </w:p>
              </w:tc>
            </w:tr>
            <w:tr w:rsidR="009F66F5" w:rsidRPr="00BD0410" w14:paraId="006EC216" w14:textId="77777777" w:rsidTr="006E51E1">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D31FB5A" w14:textId="77777777" w:rsidR="009F66F5" w:rsidRPr="00565AF2" w:rsidRDefault="009F66F5" w:rsidP="006E51E1">
                  <w:pPr>
                    <w:spacing w:after="0" w:line="240" w:lineRule="auto"/>
                    <w:rPr>
                      <w:rFonts w:eastAsia="Times New Roman" w:cstheme="minorHAnsi"/>
                      <w:sz w:val="20"/>
                      <w:szCs w:val="20"/>
                    </w:rPr>
                  </w:pPr>
                  <w:r>
                    <w:rPr>
                      <w:sz w:val="20"/>
                      <w:szCs w:val="20"/>
                    </w:rPr>
                    <w:t>Czech Republic</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71846DA2" w14:textId="77777777" w:rsidR="009F66F5" w:rsidRPr="00A91E34" w:rsidRDefault="009F66F5" w:rsidP="006E51E1">
                  <w:pPr>
                    <w:spacing w:after="0" w:line="240" w:lineRule="auto"/>
                    <w:rPr>
                      <w:rFonts w:eastAsia="Times New Roman" w:cstheme="minorHAnsi"/>
                      <w:sz w:val="20"/>
                      <w:szCs w:val="20"/>
                    </w:rPr>
                  </w:pPr>
                  <w:r>
                    <w:rPr>
                      <w:sz w:val="20"/>
                      <w:szCs w:val="20"/>
                    </w:rPr>
                    <w:t>(CZ)</w:t>
                  </w:r>
                </w:p>
              </w:tc>
            </w:tr>
            <w:tr w:rsidR="002C5B28" w:rsidRPr="00565AF2" w14:paraId="57B4661E"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0FFA602D" w14:textId="77777777" w:rsidR="002C5B28" w:rsidRPr="00565AF2" w:rsidRDefault="002C5B28" w:rsidP="002C5B28">
                  <w:pPr>
                    <w:spacing w:after="0" w:line="240" w:lineRule="auto"/>
                    <w:rPr>
                      <w:rFonts w:eastAsia="Times New Roman" w:cstheme="minorHAnsi"/>
                      <w:sz w:val="20"/>
                      <w:szCs w:val="20"/>
                    </w:rPr>
                  </w:pPr>
                  <w:r>
                    <w:rPr>
                      <w:sz w:val="20"/>
                      <w:szCs w:val="20"/>
                    </w:rPr>
                    <w:t>Romania</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3484CBB" w14:textId="77777777" w:rsidR="002C5B28" w:rsidRPr="00A91E34" w:rsidRDefault="002C5B28" w:rsidP="002C5B28">
                  <w:pPr>
                    <w:spacing w:after="0" w:line="240" w:lineRule="auto"/>
                    <w:rPr>
                      <w:rFonts w:eastAsia="Times New Roman" w:cstheme="minorHAnsi"/>
                      <w:sz w:val="20"/>
                      <w:szCs w:val="20"/>
                    </w:rPr>
                  </w:pPr>
                  <w:r>
                    <w:rPr>
                      <w:sz w:val="20"/>
                      <w:szCs w:val="20"/>
                    </w:rPr>
                    <w:t>(RO)</w:t>
                  </w:r>
                </w:p>
              </w:tc>
            </w:tr>
            <w:tr w:rsidR="002C5B28" w:rsidRPr="00565AF2" w14:paraId="2071CBDF"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3EBE71FA" w14:textId="77777777" w:rsidR="002C5B28" w:rsidRPr="00565AF2" w:rsidRDefault="002C5B28" w:rsidP="002C5B28">
                  <w:pPr>
                    <w:spacing w:after="0" w:line="240" w:lineRule="auto"/>
                    <w:rPr>
                      <w:rFonts w:eastAsia="Times New Roman" w:cstheme="minorHAnsi"/>
                      <w:sz w:val="20"/>
                      <w:szCs w:val="20"/>
                    </w:rPr>
                  </w:pPr>
                  <w:r>
                    <w:rPr>
                      <w:sz w:val="20"/>
                      <w:szCs w:val="20"/>
                    </w:rPr>
                    <w:t>Slovenia</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B275EEF" w14:textId="77777777" w:rsidR="002C5B28" w:rsidRPr="00A91E34" w:rsidRDefault="002C5B28" w:rsidP="002C5B28">
                  <w:pPr>
                    <w:spacing w:after="0" w:line="240" w:lineRule="auto"/>
                    <w:rPr>
                      <w:rFonts w:eastAsia="Times New Roman" w:cstheme="minorHAnsi"/>
                      <w:sz w:val="20"/>
                      <w:szCs w:val="20"/>
                    </w:rPr>
                  </w:pPr>
                  <w:r>
                    <w:rPr>
                      <w:sz w:val="20"/>
                      <w:szCs w:val="20"/>
                    </w:rPr>
                    <w:t>(SI)</w:t>
                  </w:r>
                </w:p>
              </w:tc>
            </w:tr>
            <w:tr w:rsidR="002C5B28" w:rsidRPr="00565AF2" w14:paraId="2E3F3019"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2B9BC75F" w14:textId="77777777" w:rsidR="002C5B28" w:rsidRPr="00565AF2" w:rsidRDefault="002C5B28" w:rsidP="002C5B28">
                  <w:pPr>
                    <w:spacing w:after="0" w:line="240" w:lineRule="auto"/>
                    <w:rPr>
                      <w:rFonts w:eastAsia="Times New Roman" w:cstheme="minorHAnsi"/>
                      <w:sz w:val="20"/>
                      <w:szCs w:val="20"/>
                    </w:rPr>
                  </w:pPr>
                  <w:r>
                    <w:rPr>
                      <w:sz w:val="20"/>
                      <w:szCs w:val="20"/>
                    </w:rPr>
                    <w:t>Slovakia</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123C4C13" w14:textId="77777777" w:rsidR="002C5B28" w:rsidRPr="00B8626D" w:rsidRDefault="002C5B28" w:rsidP="002C5B28">
                  <w:pPr>
                    <w:spacing w:after="0" w:line="240" w:lineRule="auto"/>
                    <w:rPr>
                      <w:rFonts w:eastAsia="Times New Roman" w:cstheme="minorHAnsi"/>
                      <w:color w:val="333333"/>
                      <w:sz w:val="20"/>
                      <w:szCs w:val="20"/>
                    </w:rPr>
                  </w:pPr>
                  <w:r>
                    <w:rPr>
                      <w:color w:val="333333"/>
                      <w:sz w:val="20"/>
                      <w:szCs w:val="20"/>
                    </w:rPr>
                    <w:t>(SK)</w:t>
                  </w:r>
                </w:p>
              </w:tc>
            </w:tr>
            <w:tr w:rsidR="002C5B28" w:rsidRPr="00565AF2" w14:paraId="4C8B19A0" w14:textId="77777777" w:rsidTr="00B8626D">
              <w:tc>
                <w:tcPr>
                  <w:tcW w:w="358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A79F3E5" w14:textId="77777777" w:rsidR="002C5B28" w:rsidRPr="00565AF2" w:rsidRDefault="002C5B28" w:rsidP="002C5B28">
                  <w:pPr>
                    <w:spacing w:after="0" w:line="240" w:lineRule="auto"/>
                    <w:rPr>
                      <w:rFonts w:eastAsia="Times New Roman" w:cstheme="minorHAnsi"/>
                      <w:sz w:val="20"/>
                      <w:szCs w:val="20"/>
                    </w:rPr>
                  </w:pPr>
                  <w:r>
                    <w:rPr>
                      <w:sz w:val="20"/>
                      <w:szCs w:val="20"/>
                    </w:rPr>
                    <w:t>Sweden</w:t>
                  </w:r>
                </w:p>
              </w:tc>
              <w:tc>
                <w:tcPr>
                  <w:tcW w:w="1420" w:type="pct"/>
                  <w:tcBorders>
                    <w:top w:val="outset" w:sz="6" w:space="0" w:color="auto"/>
                    <w:left w:val="outset" w:sz="6" w:space="0" w:color="auto"/>
                    <w:bottom w:val="outset" w:sz="6" w:space="0" w:color="auto"/>
                    <w:right w:val="outset" w:sz="6" w:space="0" w:color="auto"/>
                  </w:tcBorders>
                  <w:shd w:val="clear" w:color="auto" w:fill="F5FAFF"/>
                  <w:tcMar>
                    <w:top w:w="0" w:type="dxa"/>
                    <w:left w:w="0" w:type="dxa"/>
                    <w:bottom w:w="0" w:type="dxa"/>
                    <w:right w:w="0" w:type="dxa"/>
                  </w:tcMar>
                  <w:vAlign w:val="center"/>
                  <w:hideMark/>
                </w:tcPr>
                <w:p w14:paraId="438E7E2B" w14:textId="77777777" w:rsidR="002C5B28" w:rsidRPr="00B8626D" w:rsidRDefault="002C5B28" w:rsidP="002C5B28">
                  <w:pPr>
                    <w:spacing w:after="0" w:line="240" w:lineRule="auto"/>
                    <w:rPr>
                      <w:rFonts w:eastAsia="Times New Roman" w:cstheme="minorHAnsi"/>
                      <w:color w:val="333333"/>
                      <w:sz w:val="20"/>
                      <w:szCs w:val="20"/>
                    </w:rPr>
                  </w:pPr>
                  <w:r>
                    <w:rPr>
                      <w:color w:val="333333"/>
                      <w:sz w:val="20"/>
                      <w:szCs w:val="20"/>
                    </w:rPr>
                    <w:t>(SE)</w:t>
                  </w:r>
                </w:p>
              </w:tc>
            </w:tr>
          </w:tbl>
          <w:p w14:paraId="27CE4075" w14:textId="00CB0790" w:rsidR="002C5B28" w:rsidRDefault="002C5B28" w:rsidP="00BA3CEE">
            <w:pPr>
              <w:rPr>
                <w:rFonts w:ascii="Cambria,Bold" w:hAnsi="Cambria,Bold" w:cs="Cambria,Bold"/>
                <w:b/>
                <w:bCs/>
                <w:color w:val="548DD4" w:themeColor="text2" w:themeTint="99"/>
                <w:sz w:val="24"/>
                <w:szCs w:val="24"/>
                <w:u w:val="single"/>
              </w:rPr>
            </w:pPr>
          </w:p>
        </w:tc>
      </w:tr>
    </w:tbl>
    <w:p w14:paraId="62CB2C2A" w14:textId="68384153" w:rsidR="002C5B28" w:rsidRDefault="002C5B28" w:rsidP="00BA3CEE">
      <w:pPr>
        <w:rPr>
          <w:rFonts w:ascii="Cambria,Bold" w:hAnsi="Cambria,Bold" w:cs="Cambria,Bold"/>
          <w:b/>
          <w:bCs/>
          <w:color w:val="548DD4" w:themeColor="text2" w:themeTint="99"/>
          <w:sz w:val="24"/>
          <w:szCs w:val="24"/>
          <w:u w:val="single"/>
        </w:rPr>
      </w:pPr>
    </w:p>
    <w:p w14:paraId="512F0DE1" w14:textId="77777777" w:rsidR="002C5B28" w:rsidRDefault="002C5B28" w:rsidP="00BA3CEE">
      <w:pPr>
        <w:rPr>
          <w:rFonts w:ascii="Cambria,Bold" w:hAnsi="Cambria,Bold" w:cs="Cambria,Bold"/>
          <w:b/>
          <w:bCs/>
          <w:color w:val="548DD4" w:themeColor="text2" w:themeTint="99"/>
          <w:sz w:val="24"/>
          <w:szCs w:val="24"/>
          <w:u w:val="single"/>
        </w:rPr>
      </w:pPr>
    </w:p>
    <w:p w14:paraId="33DCC811" w14:textId="4F3ED4FF" w:rsidR="00BA3CEE" w:rsidRDefault="00BA3CEE" w:rsidP="002C5B28">
      <w:pPr>
        <w:jc w:val="right"/>
        <w:rPr>
          <w:rFonts w:ascii="Cambria,Bold" w:hAnsi="Cambria,Bold" w:cs="Cambria,Bold"/>
          <w:b/>
          <w:bCs/>
          <w:color w:val="548DD4" w:themeColor="text2" w:themeTint="99"/>
          <w:sz w:val="24"/>
          <w:szCs w:val="24"/>
          <w:u w:val="single"/>
        </w:rPr>
      </w:pPr>
    </w:p>
    <w:p w14:paraId="338D9124" w14:textId="77777777" w:rsidR="007E4607" w:rsidRDefault="007E4607">
      <w:pPr>
        <w:rPr>
          <w:rFonts w:ascii="Cambria,Bold" w:hAnsi="Cambria,Bold" w:cs="Cambria,Bold"/>
          <w:b/>
          <w:bCs/>
          <w:color w:val="548DD4" w:themeColor="text2" w:themeTint="99"/>
          <w:sz w:val="24"/>
          <w:szCs w:val="24"/>
        </w:rPr>
      </w:pPr>
    </w:p>
    <w:p w14:paraId="5905EF83" w14:textId="77777777" w:rsidR="007E4607" w:rsidRPr="00AE5C3C" w:rsidRDefault="007E4607" w:rsidP="0054268E"/>
    <w:sectPr w:rsidR="007E4607" w:rsidRPr="00AE5C3C" w:rsidSect="00CD1EFC">
      <w:footerReference w:type="default" r:id="rId18"/>
      <w:pgSz w:w="11906" w:h="16838"/>
      <w:pgMar w:top="851" w:right="1274" w:bottom="1417" w:left="1417" w:header="708" w:footer="708" w:gutter="0"/>
      <w:pgBorders w:offsetFrom="page">
        <w:right w:val="single" w:sz="12" w:space="24" w:color="FFFFFF" w:themeColor="background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D177" w14:textId="77777777" w:rsidR="00E0392E" w:rsidRDefault="00E0392E" w:rsidP="00FD151D">
      <w:pPr>
        <w:spacing w:after="0" w:line="240" w:lineRule="auto"/>
      </w:pPr>
      <w:r>
        <w:separator/>
      </w:r>
    </w:p>
  </w:endnote>
  <w:endnote w:type="continuationSeparator" w:id="0">
    <w:p w14:paraId="133DEEFA" w14:textId="77777777" w:rsidR="00E0392E" w:rsidRDefault="00E0392E" w:rsidP="00FD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089359"/>
      <w:docPartObj>
        <w:docPartGallery w:val="Page Numbers (Bottom of Page)"/>
        <w:docPartUnique/>
      </w:docPartObj>
    </w:sdtPr>
    <w:sdtEndPr/>
    <w:sdtContent>
      <w:sdt>
        <w:sdtPr>
          <w:id w:val="860082579"/>
          <w:docPartObj>
            <w:docPartGallery w:val="Page Numbers (Top of Page)"/>
            <w:docPartUnique/>
          </w:docPartObj>
        </w:sdtPr>
        <w:sdtEndPr/>
        <w:sdtContent>
          <w:p w14:paraId="1968EF51" w14:textId="43757C45" w:rsidR="00C55AB3" w:rsidRDefault="00C55AB3">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1F2BB0">
              <w:rPr>
                <w:b/>
                <w:bCs/>
                <w:noProof/>
              </w:rPr>
              <w:t>11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sidR="001F2BB0">
              <w:rPr>
                <w:b/>
                <w:bCs/>
                <w:noProof/>
              </w:rPr>
              <w:t>18</w:t>
            </w:r>
            <w:r>
              <w:rPr>
                <w:b/>
                <w:bCs/>
                <w:sz w:val="24"/>
                <w:szCs w:val="24"/>
              </w:rPr>
              <w:fldChar w:fldCharType="end"/>
            </w:r>
          </w:p>
        </w:sdtContent>
      </w:sdt>
    </w:sdtContent>
  </w:sdt>
  <w:p w14:paraId="69B1C420" w14:textId="77777777" w:rsidR="00C55AB3" w:rsidRDefault="00C55A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5C7B8" w14:textId="77777777" w:rsidR="00E0392E" w:rsidRDefault="00E0392E" w:rsidP="00FD151D">
      <w:pPr>
        <w:spacing w:after="0" w:line="240" w:lineRule="auto"/>
      </w:pPr>
      <w:r>
        <w:separator/>
      </w:r>
    </w:p>
  </w:footnote>
  <w:footnote w:type="continuationSeparator" w:id="0">
    <w:p w14:paraId="7CD658B8" w14:textId="77777777" w:rsidR="00E0392E" w:rsidRDefault="00E0392E" w:rsidP="00FD151D">
      <w:pPr>
        <w:spacing w:after="0" w:line="240" w:lineRule="auto"/>
      </w:pPr>
      <w:r>
        <w:continuationSeparator/>
      </w:r>
    </w:p>
  </w:footnote>
  <w:footnote w:id="1">
    <w:p w14:paraId="131CAC15" w14:textId="77777777" w:rsidR="00C55AB3" w:rsidRDefault="00C55AB3">
      <w:pPr>
        <w:pStyle w:val="Notedebasdepage"/>
      </w:pPr>
      <w:r>
        <w:rPr>
          <w:rStyle w:val="Appelnotedebasdep"/>
        </w:rPr>
        <w:footnoteRef/>
      </w:r>
      <w:r>
        <w:t xml:space="preserve"> In the sense of authorised and cleared.</w:t>
      </w:r>
    </w:p>
  </w:footnote>
  <w:footnote w:id="2">
    <w:p w14:paraId="4E026870" w14:textId="77777777" w:rsidR="00C55AB3" w:rsidRDefault="00C55AB3" w:rsidP="005A36C1">
      <w:pPr>
        <w:pStyle w:val="Notedebasdepage"/>
      </w:pPr>
      <w:r>
        <w:rPr>
          <w:rStyle w:val="Appelnotedebasdep"/>
        </w:rPr>
        <w:footnoteRef/>
      </w:r>
      <w:r>
        <w:t xml:space="preserve"> Modification of the raised numbers printed to form the card number.</w:t>
      </w:r>
    </w:p>
  </w:footnote>
  <w:footnote w:id="3">
    <w:p w14:paraId="4D6D5D1D" w14:textId="77777777" w:rsidR="00C55AB3" w:rsidRDefault="00C55AB3" w:rsidP="005A36C1">
      <w:pPr>
        <w:pStyle w:val="Notedebasdepage"/>
      </w:pPr>
      <w:r>
        <w:rPr>
          <w:rStyle w:val="Appelnotedebasdep"/>
        </w:rPr>
        <w:footnoteRef/>
      </w:r>
      <w:r>
        <w:t xml:space="preserve"> A technique that consists in using issuers’ own rules for creating payment card numbers to generate fraudulent numbers.</w:t>
      </w:r>
    </w:p>
  </w:footnote>
  <w:footnote w:id="4">
    <w:p w14:paraId="779A05DC" w14:textId="77777777" w:rsidR="00C55AB3" w:rsidRDefault="00C55AB3">
      <w:pPr>
        <w:pStyle w:val="Notedebasdepage"/>
      </w:pPr>
      <w:r>
        <w:rPr>
          <w:rStyle w:val="Appelnotedebasdep"/>
        </w:rPr>
        <w:footnoteRef/>
      </w:r>
      <w:r>
        <w:t xml:space="preserve"> In the sense of authorised and cleared.</w:t>
      </w:r>
    </w:p>
  </w:footnote>
  <w:footnote w:id="5">
    <w:p w14:paraId="7B569344" w14:textId="6FD2B4F6" w:rsidR="00C55AB3" w:rsidRDefault="00C55AB3">
      <w:pPr>
        <w:pStyle w:val="Notedebasdepage"/>
      </w:pPr>
      <w:r>
        <w:rPr>
          <w:rStyle w:val="Appelnotedebasdep"/>
        </w:rPr>
        <w:footnoteRef/>
      </w:r>
      <w:r>
        <w:t xml:space="preserve"> Other overseas collectivities (French Polynesia, Wallis and Futuna) and New Caledonia, which are not members of the European Union, are excluded from the “France” region.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6EEA"/>
    <w:multiLevelType w:val="hybridMultilevel"/>
    <w:tmpl w:val="22021F4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74729F"/>
    <w:multiLevelType w:val="hybridMultilevel"/>
    <w:tmpl w:val="F93E5482"/>
    <w:lvl w:ilvl="0" w:tplc="35788420">
      <w:start w:val="1"/>
      <w:numFmt w:val="bullet"/>
      <w:lvlText w:val=""/>
      <w:lvlJc w:val="left"/>
      <w:pPr>
        <w:ind w:left="720" w:hanging="360"/>
      </w:pPr>
      <w:rPr>
        <w:rFonts w:ascii="Symbol" w:hAnsi="Symbol" w:hint="default"/>
        <w:color w:val="548DD4" w:themeColor="text2"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D020F9"/>
    <w:multiLevelType w:val="hybridMultilevel"/>
    <w:tmpl w:val="D76CDDC2"/>
    <w:lvl w:ilvl="0" w:tplc="120CBC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E14EDE"/>
    <w:multiLevelType w:val="hybridMultilevel"/>
    <w:tmpl w:val="E5D6ECD6"/>
    <w:lvl w:ilvl="0" w:tplc="5D144F84">
      <w:start w:val="1"/>
      <w:numFmt w:val="decimal"/>
      <w:lvlText w:val="%1."/>
      <w:lvlJc w:val="left"/>
      <w:pPr>
        <w:ind w:left="720" w:hanging="360"/>
      </w:pPr>
      <w:rPr>
        <w:rFonts w:ascii="Cambria,Bold" w:hAnsi="Cambria,Bold" w:cs="Cambria,Bold" w:hint="default"/>
        <w:b/>
        <w:color w:val="1F497D"/>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B8486F"/>
    <w:multiLevelType w:val="hybridMultilevel"/>
    <w:tmpl w:val="912E0582"/>
    <w:lvl w:ilvl="0" w:tplc="35788420">
      <w:start w:val="1"/>
      <w:numFmt w:val="bullet"/>
      <w:lvlText w:val=""/>
      <w:lvlJc w:val="left"/>
      <w:pPr>
        <w:ind w:left="720" w:hanging="360"/>
      </w:pPr>
      <w:rPr>
        <w:rFonts w:ascii="Symbol" w:hAnsi="Symbol" w:hint="default"/>
        <w:color w:val="548DD4" w:themeColor="text2"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901E99"/>
    <w:multiLevelType w:val="hybridMultilevel"/>
    <w:tmpl w:val="276CDE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303D5E"/>
    <w:multiLevelType w:val="hybridMultilevel"/>
    <w:tmpl w:val="F280C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665E5"/>
    <w:multiLevelType w:val="hybridMultilevel"/>
    <w:tmpl w:val="A702878C"/>
    <w:lvl w:ilvl="0" w:tplc="5A1C69C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31D91929"/>
    <w:multiLevelType w:val="multilevel"/>
    <w:tmpl w:val="D4FEA93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2D1A80"/>
    <w:multiLevelType w:val="hybridMultilevel"/>
    <w:tmpl w:val="9272ADF4"/>
    <w:lvl w:ilvl="0" w:tplc="C4824432">
      <w:start w:val="4"/>
      <w:numFmt w:val="bullet"/>
      <w:lvlText w:val="-"/>
      <w:lvlJc w:val="left"/>
      <w:pPr>
        <w:ind w:left="720" w:hanging="360"/>
      </w:pPr>
      <w:rPr>
        <w:rFonts w:ascii="Calibri" w:eastAsiaTheme="minorHAnsi" w:hAnsi="Calibri" w:cstheme="minorBidi" w:hint="default"/>
        <w:b w:val="0"/>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A02CDA"/>
    <w:multiLevelType w:val="hybridMultilevel"/>
    <w:tmpl w:val="6C9032C4"/>
    <w:lvl w:ilvl="0" w:tplc="03866D44">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AD00E9"/>
    <w:multiLevelType w:val="hybridMultilevel"/>
    <w:tmpl w:val="4F6C7818"/>
    <w:lvl w:ilvl="0" w:tplc="26C001CC">
      <w:start w:val="1"/>
      <w:numFmt w:val="decimal"/>
      <w:lvlText w:val="%1."/>
      <w:lvlJc w:val="left"/>
      <w:pPr>
        <w:ind w:left="720" w:hanging="360"/>
      </w:pPr>
      <w:rPr>
        <w:rFonts w:ascii="Cambria,Bold" w:hAnsi="Cambria,Bold" w:cs="Cambria,Bold"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CA0521E"/>
    <w:multiLevelType w:val="hybridMultilevel"/>
    <w:tmpl w:val="36582180"/>
    <w:lvl w:ilvl="0" w:tplc="CD2A6D14">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5B361A"/>
    <w:multiLevelType w:val="hybridMultilevel"/>
    <w:tmpl w:val="91A276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9C6C44"/>
    <w:multiLevelType w:val="hybridMultilevel"/>
    <w:tmpl w:val="B70E2FD2"/>
    <w:lvl w:ilvl="0" w:tplc="EC54009C">
      <w:start w:val="2323"/>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5390121F"/>
    <w:multiLevelType w:val="multilevel"/>
    <w:tmpl w:val="C7C8F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BDF3DC6"/>
    <w:multiLevelType w:val="hybridMultilevel"/>
    <w:tmpl w:val="8AB82240"/>
    <w:lvl w:ilvl="0" w:tplc="34A4BFE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540A5F"/>
    <w:multiLevelType w:val="hybridMultilevel"/>
    <w:tmpl w:val="143827FA"/>
    <w:lvl w:ilvl="0" w:tplc="F8125D42">
      <w:start w:val="3"/>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69E07E34"/>
    <w:multiLevelType w:val="hybridMultilevel"/>
    <w:tmpl w:val="B98E2A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40309D"/>
    <w:multiLevelType w:val="hybridMultilevel"/>
    <w:tmpl w:val="58505982"/>
    <w:lvl w:ilvl="0" w:tplc="41FA86A8">
      <w:start w:val="1"/>
      <w:numFmt w:val="bullet"/>
      <w:lvlText w:val="•"/>
      <w:lvlJc w:val="left"/>
      <w:pPr>
        <w:tabs>
          <w:tab w:val="num" w:pos="720"/>
        </w:tabs>
        <w:ind w:left="720" w:hanging="360"/>
      </w:pPr>
      <w:rPr>
        <w:rFonts w:ascii="Times New Roman" w:hAnsi="Times New Roman" w:hint="default"/>
      </w:rPr>
    </w:lvl>
    <w:lvl w:ilvl="1" w:tplc="85EAE2C2">
      <w:start w:val="458"/>
      <w:numFmt w:val="bullet"/>
      <w:lvlText w:val="–"/>
      <w:lvlJc w:val="left"/>
      <w:pPr>
        <w:tabs>
          <w:tab w:val="num" w:pos="1440"/>
        </w:tabs>
        <w:ind w:left="1440" w:hanging="360"/>
      </w:pPr>
      <w:rPr>
        <w:rFonts w:ascii="Times New Roman" w:hAnsi="Times New Roman" w:hint="default"/>
      </w:rPr>
    </w:lvl>
    <w:lvl w:ilvl="2" w:tplc="E940D7D8" w:tentative="1">
      <w:start w:val="1"/>
      <w:numFmt w:val="bullet"/>
      <w:lvlText w:val="•"/>
      <w:lvlJc w:val="left"/>
      <w:pPr>
        <w:tabs>
          <w:tab w:val="num" w:pos="2160"/>
        </w:tabs>
        <w:ind w:left="2160" w:hanging="360"/>
      </w:pPr>
      <w:rPr>
        <w:rFonts w:ascii="Times New Roman" w:hAnsi="Times New Roman" w:hint="default"/>
      </w:rPr>
    </w:lvl>
    <w:lvl w:ilvl="3" w:tplc="18E0D304" w:tentative="1">
      <w:start w:val="1"/>
      <w:numFmt w:val="bullet"/>
      <w:lvlText w:val="•"/>
      <w:lvlJc w:val="left"/>
      <w:pPr>
        <w:tabs>
          <w:tab w:val="num" w:pos="2880"/>
        </w:tabs>
        <w:ind w:left="2880" w:hanging="360"/>
      </w:pPr>
      <w:rPr>
        <w:rFonts w:ascii="Times New Roman" w:hAnsi="Times New Roman" w:hint="default"/>
      </w:rPr>
    </w:lvl>
    <w:lvl w:ilvl="4" w:tplc="001A514E" w:tentative="1">
      <w:start w:val="1"/>
      <w:numFmt w:val="bullet"/>
      <w:lvlText w:val="•"/>
      <w:lvlJc w:val="left"/>
      <w:pPr>
        <w:tabs>
          <w:tab w:val="num" w:pos="3600"/>
        </w:tabs>
        <w:ind w:left="3600" w:hanging="360"/>
      </w:pPr>
      <w:rPr>
        <w:rFonts w:ascii="Times New Roman" w:hAnsi="Times New Roman" w:hint="default"/>
      </w:rPr>
    </w:lvl>
    <w:lvl w:ilvl="5" w:tplc="7280356C" w:tentative="1">
      <w:start w:val="1"/>
      <w:numFmt w:val="bullet"/>
      <w:lvlText w:val="•"/>
      <w:lvlJc w:val="left"/>
      <w:pPr>
        <w:tabs>
          <w:tab w:val="num" w:pos="4320"/>
        </w:tabs>
        <w:ind w:left="4320" w:hanging="360"/>
      </w:pPr>
      <w:rPr>
        <w:rFonts w:ascii="Times New Roman" w:hAnsi="Times New Roman" w:hint="default"/>
      </w:rPr>
    </w:lvl>
    <w:lvl w:ilvl="6" w:tplc="C69CD646" w:tentative="1">
      <w:start w:val="1"/>
      <w:numFmt w:val="bullet"/>
      <w:lvlText w:val="•"/>
      <w:lvlJc w:val="left"/>
      <w:pPr>
        <w:tabs>
          <w:tab w:val="num" w:pos="5040"/>
        </w:tabs>
        <w:ind w:left="5040" w:hanging="360"/>
      </w:pPr>
      <w:rPr>
        <w:rFonts w:ascii="Times New Roman" w:hAnsi="Times New Roman" w:hint="default"/>
      </w:rPr>
    </w:lvl>
    <w:lvl w:ilvl="7" w:tplc="D69E1502" w:tentative="1">
      <w:start w:val="1"/>
      <w:numFmt w:val="bullet"/>
      <w:lvlText w:val="•"/>
      <w:lvlJc w:val="left"/>
      <w:pPr>
        <w:tabs>
          <w:tab w:val="num" w:pos="5760"/>
        </w:tabs>
        <w:ind w:left="5760" w:hanging="360"/>
      </w:pPr>
      <w:rPr>
        <w:rFonts w:ascii="Times New Roman" w:hAnsi="Times New Roman" w:hint="default"/>
      </w:rPr>
    </w:lvl>
    <w:lvl w:ilvl="8" w:tplc="5C4A05E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2991ECA"/>
    <w:multiLevelType w:val="hybridMultilevel"/>
    <w:tmpl w:val="251C0014"/>
    <w:lvl w:ilvl="0" w:tplc="4A6ECB9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6"/>
  </w:num>
  <w:num w:numId="4">
    <w:abstractNumId w:val="4"/>
  </w:num>
  <w:num w:numId="5">
    <w:abstractNumId w:val="7"/>
  </w:num>
  <w:num w:numId="6">
    <w:abstractNumId w:val="13"/>
  </w:num>
  <w:num w:numId="7">
    <w:abstractNumId w:val="6"/>
  </w:num>
  <w:num w:numId="8">
    <w:abstractNumId w:val="14"/>
  </w:num>
  <w:num w:numId="9">
    <w:abstractNumId w:val="8"/>
  </w:num>
  <w:num w:numId="10">
    <w:abstractNumId w:val="15"/>
  </w:num>
  <w:num w:numId="11">
    <w:abstractNumId w:val="10"/>
  </w:num>
  <w:num w:numId="12">
    <w:abstractNumId w:val="1"/>
  </w:num>
  <w:num w:numId="13">
    <w:abstractNumId w:val="18"/>
  </w:num>
  <w:num w:numId="14">
    <w:abstractNumId w:val="20"/>
  </w:num>
  <w:num w:numId="15">
    <w:abstractNumId w:val="0"/>
  </w:num>
  <w:num w:numId="16">
    <w:abstractNumId w:val="19"/>
  </w:num>
  <w:num w:numId="17">
    <w:abstractNumId w:val="11"/>
  </w:num>
  <w:num w:numId="18">
    <w:abstractNumId w:val="9"/>
  </w:num>
  <w:num w:numId="19">
    <w:abstractNumId w:val="12"/>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7A7"/>
    <w:rsid w:val="00002283"/>
    <w:rsid w:val="00005B39"/>
    <w:rsid w:val="00007347"/>
    <w:rsid w:val="00007D92"/>
    <w:rsid w:val="00020CEA"/>
    <w:rsid w:val="00020D1F"/>
    <w:rsid w:val="00023618"/>
    <w:rsid w:val="00023851"/>
    <w:rsid w:val="00032F2C"/>
    <w:rsid w:val="0003646D"/>
    <w:rsid w:val="00046825"/>
    <w:rsid w:val="0005387A"/>
    <w:rsid w:val="0005443E"/>
    <w:rsid w:val="0006000D"/>
    <w:rsid w:val="00060B86"/>
    <w:rsid w:val="0006424D"/>
    <w:rsid w:val="00066C18"/>
    <w:rsid w:val="00070B71"/>
    <w:rsid w:val="000718AC"/>
    <w:rsid w:val="00074E0B"/>
    <w:rsid w:val="000A4A50"/>
    <w:rsid w:val="000B5DB4"/>
    <w:rsid w:val="000C30E2"/>
    <w:rsid w:val="000D7A73"/>
    <w:rsid w:val="000E74B2"/>
    <w:rsid w:val="000F3F38"/>
    <w:rsid w:val="00100247"/>
    <w:rsid w:val="00100766"/>
    <w:rsid w:val="0010111B"/>
    <w:rsid w:val="00106791"/>
    <w:rsid w:val="0011288F"/>
    <w:rsid w:val="00132484"/>
    <w:rsid w:val="001363AC"/>
    <w:rsid w:val="0015531A"/>
    <w:rsid w:val="00164C87"/>
    <w:rsid w:val="0016531D"/>
    <w:rsid w:val="00165CD4"/>
    <w:rsid w:val="0016649F"/>
    <w:rsid w:val="001666B0"/>
    <w:rsid w:val="001752B5"/>
    <w:rsid w:val="001825DB"/>
    <w:rsid w:val="00184550"/>
    <w:rsid w:val="001913B2"/>
    <w:rsid w:val="00194C42"/>
    <w:rsid w:val="001A38A3"/>
    <w:rsid w:val="001A7782"/>
    <w:rsid w:val="001B13BF"/>
    <w:rsid w:val="001C38E0"/>
    <w:rsid w:val="001D3A35"/>
    <w:rsid w:val="001D4326"/>
    <w:rsid w:val="001D7444"/>
    <w:rsid w:val="001F2BB0"/>
    <w:rsid w:val="001F662F"/>
    <w:rsid w:val="00231C6E"/>
    <w:rsid w:val="00240EFF"/>
    <w:rsid w:val="00257483"/>
    <w:rsid w:val="00263F5C"/>
    <w:rsid w:val="002700B4"/>
    <w:rsid w:val="00280D8F"/>
    <w:rsid w:val="002823D1"/>
    <w:rsid w:val="00287DEB"/>
    <w:rsid w:val="0029299B"/>
    <w:rsid w:val="00294EC8"/>
    <w:rsid w:val="002A4C86"/>
    <w:rsid w:val="002B4213"/>
    <w:rsid w:val="002C5B28"/>
    <w:rsid w:val="002D1656"/>
    <w:rsid w:val="002D49FB"/>
    <w:rsid w:val="002E173C"/>
    <w:rsid w:val="002E3808"/>
    <w:rsid w:val="002F1174"/>
    <w:rsid w:val="002F72A6"/>
    <w:rsid w:val="00310446"/>
    <w:rsid w:val="00324D33"/>
    <w:rsid w:val="0032679B"/>
    <w:rsid w:val="00331C66"/>
    <w:rsid w:val="00333397"/>
    <w:rsid w:val="0034453C"/>
    <w:rsid w:val="003561B0"/>
    <w:rsid w:val="00356B1E"/>
    <w:rsid w:val="003A420D"/>
    <w:rsid w:val="003A5760"/>
    <w:rsid w:val="003A5B61"/>
    <w:rsid w:val="003C14A8"/>
    <w:rsid w:val="003D64CF"/>
    <w:rsid w:val="003D6BE3"/>
    <w:rsid w:val="004020B5"/>
    <w:rsid w:val="00426525"/>
    <w:rsid w:val="00426E74"/>
    <w:rsid w:val="00427154"/>
    <w:rsid w:val="0043681B"/>
    <w:rsid w:val="00440B20"/>
    <w:rsid w:val="00451D9E"/>
    <w:rsid w:val="0045617B"/>
    <w:rsid w:val="00460704"/>
    <w:rsid w:val="00465031"/>
    <w:rsid w:val="004732ED"/>
    <w:rsid w:val="00473E96"/>
    <w:rsid w:val="0048212A"/>
    <w:rsid w:val="00482A11"/>
    <w:rsid w:val="00495B7F"/>
    <w:rsid w:val="004978E1"/>
    <w:rsid w:val="004C5924"/>
    <w:rsid w:val="004D53B3"/>
    <w:rsid w:val="004E5EED"/>
    <w:rsid w:val="004E7EC1"/>
    <w:rsid w:val="004F55EE"/>
    <w:rsid w:val="004F61C5"/>
    <w:rsid w:val="005032EA"/>
    <w:rsid w:val="00504AF2"/>
    <w:rsid w:val="005252A0"/>
    <w:rsid w:val="00525878"/>
    <w:rsid w:val="005259E8"/>
    <w:rsid w:val="00527DFA"/>
    <w:rsid w:val="00532246"/>
    <w:rsid w:val="005422DE"/>
    <w:rsid w:val="0054268E"/>
    <w:rsid w:val="00555C2C"/>
    <w:rsid w:val="00556675"/>
    <w:rsid w:val="0056121F"/>
    <w:rsid w:val="005623AD"/>
    <w:rsid w:val="00563B58"/>
    <w:rsid w:val="00565AF2"/>
    <w:rsid w:val="00566D0A"/>
    <w:rsid w:val="0056710C"/>
    <w:rsid w:val="005769FB"/>
    <w:rsid w:val="00590DA4"/>
    <w:rsid w:val="005A36C1"/>
    <w:rsid w:val="005A5FE3"/>
    <w:rsid w:val="005A68F6"/>
    <w:rsid w:val="005B346D"/>
    <w:rsid w:val="005C2877"/>
    <w:rsid w:val="005C61E0"/>
    <w:rsid w:val="005D0FEF"/>
    <w:rsid w:val="005E3CC1"/>
    <w:rsid w:val="005F5861"/>
    <w:rsid w:val="00601DCE"/>
    <w:rsid w:val="00613055"/>
    <w:rsid w:val="00614AE9"/>
    <w:rsid w:val="006243FD"/>
    <w:rsid w:val="00625682"/>
    <w:rsid w:val="00627359"/>
    <w:rsid w:val="00633383"/>
    <w:rsid w:val="00634003"/>
    <w:rsid w:val="00636F65"/>
    <w:rsid w:val="00644CFD"/>
    <w:rsid w:val="00645E15"/>
    <w:rsid w:val="006511B8"/>
    <w:rsid w:val="00655B73"/>
    <w:rsid w:val="00674A63"/>
    <w:rsid w:val="006816CF"/>
    <w:rsid w:val="00690A7C"/>
    <w:rsid w:val="006B1F81"/>
    <w:rsid w:val="006C0DFD"/>
    <w:rsid w:val="006D2AB2"/>
    <w:rsid w:val="006D5465"/>
    <w:rsid w:val="006D6ED4"/>
    <w:rsid w:val="006E1157"/>
    <w:rsid w:val="006E51E1"/>
    <w:rsid w:val="006E57A9"/>
    <w:rsid w:val="006F36A5"/>
    <w:rsid w:val="006F4247"/>
    <w:rsid w:val="006F4546"/>
    <w:rsid w:val="00701664"/>
    <w:rsid w:val="00703A12"/>
    <w:rsid w:val="00704767"/>
    <w:rsid w:val="00704DF8"/>
    <w:rsid w:val="007067C4"/>
    <w:rsid w:val="00711167"/>
    <w:rsid w:val="00717D8F"/>
    <w:rsid w:val="0072005E"/>
    <w:rsid w:val="0073311D"/>
    <w:rsid w:val="00734610"/>
    <w:rsid w:val="0073756E"/>
    <w:rsid w:val="007414CF"/>
    <w:rsid w:val="00741E3A"/>
    <w:rsid w:val="00746C15"/>
    <w:rsid w:val="0075281C"/>
    <w:rsid w:val="00760780"/>
    <w:rsid w:val="00762C60"/>
    <w:rsid w:val="0077158F"/>
    <w:rsid w:val="0078070D"/>
    <w:rsid w:val="0078544F"/>
    <w:rsid w:val="007961DA"/>
    <w:rsid w:val="007A5DC7"/>
    <w:rsid w:val="007B315F"/>
    <w:rsid w:val="007B67F6"/>
    <w:rsid w:val="007C0F4A"/>
    <w:rsid w:val="007C2DBE"/>
    <w:rsid w:val="007D0E75"/>
    <w:rsid w:val="007D1664"/>
    <w:rsid w:val="007D4469"/>
    <w:rsid w:val="007D6153"/>
    <w:rsid w:val="007E1AD7"/>
    <w:rsid w:val="007E4607"/>
    <w:rsid w:val="007E729F"/>
    <w:rsid w:val="007F06C4"/>
    <w:rsid w:val="007F0875"/>
    <w:rsid w:val="007F0F56"/>
    <w:rsid w:val="008018AC"/>
    <w:rsid w:val="0080288C"/>
    <w:rsid w:val="008067C0"/>
    <w:rsid w:val="008150D8"/>
    <w:rsid w:val="00823BD8"/>
    <w:rsid w:val="00823DC8"/>
    <w:rsid w:val="008413A4"/>
    <w:rsid w:val="00861235"/>
    <w:rsid w:val="008653E0"/>
    <w:rsid w:val="00867395"/>
    <w:rsid w:val="00885373"/>
    <w:rsid w:val="00885647"/>
    <w:rsid w:val="008B23DD"/>
    <w:rsid w:val="008B7231"/>
    <w:rsid w:val="008C5B89"/>
    <w:rsid w:val="008C5E79"/>
    <w:rsid w:val="008D165F"/>
    <w:rsid w:val="00912F6C"/>
    <w:rsid w:val="00914BC9"/>
    <w:rsid w:val="009470ED"/>
    <w:rsid w:val="0095453F"/>
    <w:rsid w:val="0096762A"/>
    <w:rsid w:val="0097386B"/>
    <w:rsid w:val="00986F43"/>
    <w:rsid w:val="0098751A"/>
    <w:rsid w:val="00991EA9"/>
    <w:rsid w:val="009A56B2"/>
    <w:rsid w:val="009B1945"/>
    <w:rsid w:val="009B22C3"/>
    <w:rsid w:val="009C4E29"/>
    <w:rsid w:val="009D0C4A"/>
    <w:rsid w:val="009D7EDE"/>
    <w:rsid w:val="009E25B4"/>
    <w:rsid w:val="009E5CF5"/>
    <w:rsid w:val="009E7E71"/>
    <w:rsid w:val="009F52FB"/>
    <w:rsid w:val="009F6546"/>
    <w:rsid w:val="009F66F5"/>
    <w:rsid w:val="00A33412"/>
    <w:rsid w:val="00A46623"/>
    <w:rsid w:val="00A60E76"/>
    <w:rsid w:val="00A91E34"/>
    <w:rsid w:val="00A96900"/>
    <w:rsid w:val="00AA1A0C"/>
    <w:rsid w:val="00AB01D4"/>
    <w:rsid w:val="00AB3FCA"/>
    <w:rsid w:val="00AC13C9"/>
    <w:rsid w:val="00AC39E9"/>
    <w:rsid w:val="00AD35E3"/>
    <w:rsid w:val="00AE0BE1"/>
    <w:rsid w:val="00AE185E"/>
    <w:rsid w:val="00AE5C3C"/>
    <w:rsid w:val="00AF3461"/>
    <w:rsid w:val="00AF6C20"/>
    <w:rsid w:val="00B00CE7"/>
    <w:rsid w:val="00B05F89"/>
    <w:rsid w:val="00B06AFB"/>
    <w:rsid w:val="00B07630"/>
    <w:rsid w:val="00B1476A"/>
    <w:rsid w:val="00B1618D"/>
    <w:rsid w:val="00B2501C"/>
    <w:rsid w:val="00B26E0A"/>
    <w:rsid w:val="00B32568"/>
    <w:rsid w:val="00B346A8"/>
    <w:rsid w:val="00B36410"/>
    <w:rsid w:val="00B46CE4"/>
    <w:rsid w:val="00B53123"/>
    <w:rsid w:val="00B567E0"/>
    <w:rsid w:val="00B61780"/>
    <w:rsid w:val="00B636B1"/>
    <w:rsid w:val="00B646C3"/>
    <w:rsid w:val="00B6564A"/>
    <w:rsid w:val="00B670C2"/>
    <w:rsid w:val="00B71BB3"/>
    <w:rsid w:val="00B72BD1"/>
    <w:rsid w:val="00B77B8D"/>
    <w:rsid w:val="00B812BF"/>
    <w:rsid w:val="00B81B97"/>
    <w:rsid w:val="00B84290"/>
    <w:rsid w:val="00B8626D"/>
    <w:rsid w:val="00B96481"/>
    <w:rsid w:val="00BA0CBA"/>
    <w:rsid w:val="00BA3CEE"/>
    <w:rsid w:val="00BA75F7"/>
    <w:rsid w:val="00BB6743"/>
    <w:rsid w:val="00BE0301"/>
    <w:rsid w:val="00BE7ED9"/>
    <w:rsid w:val="00BF2384"/>
    <w:rsid w:val="00C00B61"/>
    <w:rsid w:val="00C0576A"/>
    <w:rsid w:val="00C059D3"/>
    <w:rsid w:val="00C1111A"/>
    <w:rsid w:val="00C16129"/>
    <w:rsid w:val="00C33810"/>
    <w:rsid w:val="00C343AE"/>
    <w:rsid w:val="00C374E1"/>
    <w:rsid w:val="00C40BB6"/>
    <w:rsid w:val="00C411D2"/>
    <w:rsid w:val="00C41791"/>
    <w:rsid w:val="00C4222D"/>
    <w:rsid w:val="00C44E93"/>
    <w:rsid w:val="00C46B10"/>
    <w:rsid w:val="00C51D75"/>
    <w:rsid w:val="00C55AB3"/>
    <w:rsid w:val="00C5609F"/>
    <w:rsid w:val="00C6401C"/>
    <w:rsid w:val="00C64AA0"/>
    <w:rsid w:val="00C64E5A"/>
    <w:rsid w:val="00C651C0"/>
    <w:rsid w:val="00C81D92"/>
    <w:rsid w:val="00C828C7"/>
    <w:rsid w:val="00C90372"/>
    <w:rsid w:val="00C910C0"/>
    <w:rsid w:val="00C959B6"/>
    <w:rsid w:val="00C95E28"/>
    <w:rsid w:val="00CA5ED3"/>
    <w:rsid w:val="00CA78E5"/>
    <w:rsid w:val="00CA7DDF"/>
    <w:rsid w:val="00CB0367"/>
    <w:rsid w:val="00CB4C7D"/>
    <w:rsid w:val="00CC261D"/>
    <w:rsid w:val="00CC4E38"/>
    <w:rsid w:val="00CD1EFC"/>
    <w:rsid w:val="00CD7FF3"/>
    <w:rsid w:val="00CE0926"/>
    <w:rsid w:val="00CE26CD"/>
    <w:rsid w:val="00CE6854"/>
    <w:rsid w:val="00D005C7"/>
    <w:rsid w:val="00D007B8"/>
    <w:rsid w:val="00D10133"/>
    <w:rsid w:val="00D20E5D"/>
    <w:rsid w:val="00D3102C"/>
    <w:rsid w:val="00D31DB8"/>
    <w:rsid w:val="00D34BCC"/>
    <w:rsid w:val="00D36F30"/>
    <w:rsid w:val="00D42580"/>
    <w:rsid w:val="00D447D2"/>
    <w:rsid w:val="00D51199"/>
    <w:rsid w:val="00D65541"/>
    <w:rsid w:val="00D91485"/>
    <w:rsid w:val="00D935EF"/>
    <w:rsid w:val="00DA1F2F"/>
    <w:rsid w:val="00DB3037"/>
    <w:rsid w:val="00DD1CE2"/>
    <w:rsid w:val="00DD2E49"/>
    <w:rsid w:val="00DE2201"/>
    <w:rsid w:val="00DE5EF3"/>
    <w:rsid w:val="00DE67D1"/>
    <w:rsid w:val="00DE6F05"/>
    <w:rsid w:val="00DF1E6E"/>
    <w:rsid w:val="00DF475B"/>
    <w:rsid w:val="00DF7D45"/>
    <w:rsid w:val="00E01BC1"/>
    <w:rsid w:val="00E0392E"/>
    <w:rsid w:val="00E05518"/>
    <w:rsid w:val="00E077A7"/>
    <w:rsid w:val="00E15290"/>
    <w:rsid w:val="00E15E10"/>
    <w:rsid w:val="00E16CE6"/>
    <w:rsid w:val="00E23DFC"/>
    <w:rsid w:val="00E27711"/>
    <w:rsid w:val="00E317AA"/>
    <w:rsid w:val="00E3248E"/>
    <w:rsid w:val="00E34DB1"/>
    <w:rsid w:val="00E4596F"/>
    <w:rsid w:val="00E466CD"/>
    <w:rsid w:val="00E96681"/>
    <w:rsid w:val="00EA171A"/>
    <w:rsid w:val="00EA19C8"/>
    <w:rsid w:val="00EB3147"/>
    <w:rsid w:val="00EC633C"/>
    <w:rsid w:val="00EF16EE"/>
    <w:rsid w:val="00EF22D8"/>
    <w:rsid w:val="00EF7FD4"/>
    <w:rsid w:val="00F02BB0"/>
    <w:rsid w:val="00F0345E"/>
    <w:rsid w:val="00F128C9"/>
    <w:rsid w:val="00F20BEE"/>
    <w:rsid w:val="00F23B38"/>
    <w:rsid w:val="00F265EE"/>
    <w:rsid w:val="00F3020E"/>
    <w:rsid w:val="00F35240"/>
    <w:rsid w:val="00F3531C"/>
    <w:rsid w:val="00F35B36"/>
    <w:rsid w:val="00F439B7"/>
    <w:rsid w:val="00F43FDB"/>
    <w:rsid w:val="00F47412"/>
    <w:rsid w:val="00F70C41"/>
    <w:rsid w:val="00F90E27"/>
    <w:rsid w:val="00F93BCD"/>
    <w:rsid w:val="00FA7E5D"/>
    <w:rsid w:val="00FB574E"/>
    <w:rsid w:val="00FB623E"/>
    <w:rsid w:val="00FC61F3"/>
    <w:rsid w:val="00FD151D"/>
    <w:rsid w:val="00FD1A83"/>
    <w:rsid w:val="00FD47E4"/>
    <w:rsid w:val="00FD63D2"/>
    <w:rsid w:val="00FE02D3"/>
    <w:rsid w:val="00FE4CC1"/>
    <w:rsid w:val="00FE5F26"/>
    <w:rsid w:val="00FF57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3C0AD"/>
  <w15:docId w15:val="{540EB09A-1844-44E6-BC4F-F4E43FE9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D6B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6BE3"/>
    <w:rPr>
      <w:rFonts w:ascii="Tahoma" w:hAnsi="Tahoma" w:cs="Tahoma"/>
      <w:sz w:val="16"/>
      <w:szCs w:val="16"/>
    </w:rPr>
  </w:style>
  <w:style w:type="paragraph" w:styleId="Paragraphedeliste">
    <w:name w:val="List Paragraph"/>
    <w:basedOn w:val="Normal"/>
    <w:uiPriority w:val="34"/>
    <w:qFormat/>
    <w:rsid w:val="003D6BE3"/>
    <w:pPr>
      <w:ind w:left="720"/>
      <w:contextualSpacing/>
    </w:pPr>
  </w:style>
  <w:style w:type="character" w:styleId="Lienhypertexte">
    <w:name w:val="Hyperlink"/>
    <w:basedOn w:val="Policepardfaut"/>
    <w:uiPriority w:val="99"/>
    <w:unhideWhenUsed/>
    <w:rsid w:val="00AA1A0C"/>
    <w:rPr>
      <w:color w:val="0000FF"/>
      <w:u w:val="single"/>
    </w:rPr>
  </w:style>
  <w:style w:type="table" w:styleId="Grilledutableau">
    <w:name w:val="Table Grid"/>
    <w:basedOn w:val="TableauNormal"/>
    <w:uiPriority w:val="59"/>
    <w:rsid w:val="0055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D151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151D"/>
    <w:rPr>
      <w:sz w:val="20"/>
      <w:szCs w:val="20"/>
    </w:rPr>
  </w:style>
  <w:style w:type="character" w:styleId="Appelnotedebasdep">
    <w:name w:val="footnote reference"/>
    <w:basedOn w:val="Policepardfaut"/>
    <w:uiPriority w:val="99"/>
    <w:semiHidden/>
    <w:unhideWhenUsed/>
    <w:rsid w:val="00FD151D"/>
    <w:rPr>
      <w:vertAlign w:val="superscript"/>
    </w:rPr>
  </w:style>
  <w:style w:type="paragraph" w:styleId="En-tte">
    <w:name w:val="header"/>
    <w:basedOn w:val="Normal"/>
    <w:link w:val="En-tteCar"/>
    <w:uiPriority w:val="99"/>
    <w:unhideWhenUsed/>
    <w:rsid w:val="000A4A50"/>
    <w:pPr>
      <w:tabs>
        <w:tab w:val="center" w:pos="4536"/>
        <w:tab w:val="right" w:pos="9072"/>
      </w:tabs>
      <w:spacing w:after="0" w:line="240" w:lineRule="auto"/>
    </w:pPr>
  </w:style>
  <w:style w:type="character" w:customStyle="1" w:styleId="En-tteCar">
    <w:name w:val="En-tête Car"/>
    <w:basedOn w:val="Policepardfaut"/>
    <w:link w:val="En-tte"/>
    <w:uiPriority w:val="99"/>
    <w:rsid w:val="000A4A50"/>
  </w:style>
  <w:style w:type="paragraph" w:styleId="Pieddepage">
    <w:name w:val="footer"/>
    <w:basedOn w:val="Normal"/>
    <w:link w:val="PieddepageCar"/>
    <w:uiPriority w:val="99"/>
    <w:unhideWhenUsed/>
    <w:rsid w:val="000A4A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4A50"/>
  </w:style>
  <w:style w:type="character" w:styleId="Marquedecommentaire">
    <w:name w:val="annotation reference"/>
    <w:basedOn w:val="Policepardfaut"/>
    <w:uiPriority w:val="99"/>
    <w:semiHidden/>
    <w:unhideWhenUsed/>
    <w:rsid w:val="00527DFA"/>
    <w:rPr>
      <w:sz w:val="16"/>
      <w:szCs w:val="16"/>
    </w:rPr>
  </w:style>
  <w:style w:type="paragraph" w:styleId="Commentaire">
    <w:name w:val="annotation text"/>
    <w:basedOn w:val="Normal"/>
    <w:link w:val="CommentaireCar"/>
    <w:uiPriority w:val="99"/>
    <w:semiHidden/>
    <w:unhideWhenUsed/>
    <w:rsid w:val="00527DFA"/>
    <w:pPr>
      <w:spacing w:line="240" w:lineRule="auto"/>
    </w:pPr>
    <w:rPr>
      <w:sz w:val="20"/>
      <w:szCs w:val="20"/>
    </w:rPr>
  </w:style>
  <w:style w:type="character" w:customStyle="1" w:styleId="CommentaireCar">
    <w:name w:val="Commentaire Car"/>
    <w:basedOn w:val="Policepardfaut"/>
    <w:link w:val="Commentaire"/>
    <w:uiPriority w:val="99"/>
    <w:semiHidden/>
    <w:rsid w:val="00527DFA"/>
    <w:rPr>
      <w:sz w:val="20"/>
      <w:szCs w:val="20"/>
    </w:rPr>
  </w:style>
  <w:style w:type="paragraph" w:styleId="Objetducommentaire">
    <w:name w:val="annotation subject"/>
    <w:basedOn w:val="Commentaire"/>
    <w:next w:val="Commentaire"/>
    <w:link w:val="ObjetducommentaireCar"/>
    <w:uiPriority w:val="99"/>
    <w:semiHidden/>
    <w:unhideWhenUsed/>
    <w:rsid w:val="00527DFA"/>
    <w:rPr>
      <w:b/>
      <w:bCs/>
    </w:rPr>
  </w:style>
  <w:style w:type="character" w:customStyle="1" w:styleId="ObjetducommentaireCar">
    <w:name w:val="Objet du commentaire Car"/>
    <w:basedOn w:val="CommentaireCar"/>
    <w:link w:val="Objetducommentaire"/>
    <w:uiPriority w:val="99"/>
    <w:semiHidden/>
    <w:rsid w:val="00527DFA"/>
    <w:rPr>
      <w:b/>
      <w:bCs/>
      <w:sz w:val="20"/>
      <w:szCs w:val="20"/>
    </w:rPr>
  </w:style>
  <w:style w:type="character" w:styleId="Lienhypertextesuivivisit">
    <w:name w:val="FollowedHyperlink"/>
    <w:basedOn w:val="Policepardfaut"/>
    <w:uiPriority w:val="99"/>
    <w:semiHidden/>
    <w:unhideWhenUsed/>
    <w:rsid w:val="006B1F81"/>
    <w:rPr>
      <w:color w:val="800080" w:themeColor="followedHyperlink"/>
      <w:u w:val="single"/>
    </w:rPr>
  </w:style>
  <w:style w:type="paragraph" w:styleId="Rvision">
    <w:name w:val="Revision"/>
    <w:hidden/>
    <w:uiPriority w:val="99"/>
    <w:semiHidden/>
    <w:rsid w:val="005322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0996">
      <w:bodyDiv w:val="1"/>
      <w:marLeft w:val="0"/>
      <w:marRight w:val="0"/>
      <w:marTop w:val="0"/>
      <w:marBottom w:val="0"/>
      <w:divBdr>
        <w:top w:val="none" w:sz="0" w:space="0" w:color="auto"/>
        <w:left w:val="none" w:sz="0" w:space="0" w:color="auto"/>
        <w:bottom w:val="none" w:sz="0" w:space="0" w:color="auto"/>
        <w:right w:val="none" w:sz="0" w:space="0" w:color="auto"/>
      </w:divBdr>
    </w:div>
    <w:div w:id="203098340">
      <w:bodyDiv w:val="1"/>
      <w:marLeft w:val="0"/>
      <w:marRight w:val="0"/>
      <w:marTop w:val="0"/>
      <w:marBottom w:val="0"/>
      <w:divBdr>
        <w:top w:val="none" w:sz="0" w:space="0" w:color="auto"/>
        <w:left w:val="none" w:sz="0" w:space="0" w:color="auto"/>
        <w:bottom w:val="none" w:sz="0" w:space="0" w:color="auto"/>
        <w:right w:val="none" w:sz="0" w:space="0" w:color="auto"/>
      </w:divBdr>
    </w:div>
    <w:div w:id="210656461">
      <w:bodyDiv w:val="1"/>
      <w:marLeft w:val="0"/>
      <w:marRight w:val="0"/>
      <w:marTop w:val="0"/>
      <w:marBottom w:val="0"/>
      <w:divBdr>
        <w:top w:val="none" w:sz="0" w:space="0" w:color="auto"/>
        <w:left w:val="none" w:sz="0" w:space="0" w:color="auto"/>
        <w:bottom w:val="none" w:sz="0" w:space="0" w:color="auto"/>
        <w:right w:val="none" w:sz="0" w:space="0" w:color="auto"/>
      </w:divBdr>
    </w:div>
    <w:div w:id="251667784">
      <w:bodyDiv w:val="1"/>
      <w:marLeft w:val="0"/>
      <w:marRight w:val="0"/>
      <w:marTop w:val="0"/>
      <w:marBottom w:val="0"/>
      <w:divBdr>
        <w:top w:val="none" w:sz="0" w:space="0" w:color="auto"/>
        <w:left w:val="none" w:sz="0" w:space="0" w:color="auto"/>
        <w:bottom w:val="none" w:sz="0" w:space="0" w:color="auto"/>
        <w:right w:val="none" w:sz="0" w:space="0" w:color="auto"/>
      </w:divBdr>
    </w:div>
    <w:div w:id="339045122">
      <w:bodyDiv w:val="1"/>
      <w:marLeft w:val="0"/>
      <w:marRight w:val="0"/>
      <w:marTop w:val="0"/>
      <w:marBottom w:val="0"/>
      <w:divBdr>
        <w:top w:val="none" w:sz="0" w:space="0" w:color="auto"/>
        <w:left w:val="none" w:sz="0" w:space="0" w:color="auto"/>
        <w:bottom w:val="none" w:sz="0" w:space="0" w:color="auto"/>
        <w:right w:val="none" w:sz="0" w:space="0" w:color="auto"/>
      </w:divBdr>
    </w:div>
    <w:div w:id="409888976">
      <w:bodyDiv w:val="1"/>
      <w:marLeft w:val="0"/>
      <w:marRight w:val="0"/>
      <w:marTop w:val="0"/>
      <w:marBottom w:val="0"/>
      <w:divBdr>
        <w:top w:val="none" w:sz="0" w:space="0" w:color="auto"/>
        <w:left w:val="none" w:sz="0" w:space="0" w:color="auto"/>
        <w:bottom w:val="none" w:sz="0" w:space="0" w:color="auto"/>
        <w:right w:val="none" w:sz="0" w:space="0" w:color="auto"/>
      </w:divBdr>
    </w:div>
    <w:div w:id="514617461">
      <w:bodyDiv w:val="1"/>
      <w:marLeft w:val="0"/>
      <w:marRight w:val="0"/>
      <w:marTop w:val="0"/>
      <w:marBottom w:val="0"/>
      <w:divBdr>
        <w:top w:val="none" w:sz="0" w:space="0" w:color="auto"/>
        <w:left w:val="none" w:sz="0" w:space="0" w:color="auto"/>
        <w:bottom w:val="none" w:sz="0" w:space="0" w:color="auto"/>
        <w:right w:val="none" w:sz="0" w:space="0" w:color="auto"/>
      </w:divBdr>
    </w:div>
    <w:div w:id="572004828">
      <w:bodyDiv w:val="1"/>
      <w:marLeft w:val="0"/>
      <w:marRight w:val="0"/>
      <w:marTop w:val="0"/>
      <w:marBottom w:val="0"/>
      <w:divBdr>
        <w:top w:val="none" w:sz="0" w:space="0" w:color="auto"/>
        <w:left w:val="none" w:sz="0" w:space="0" w:color="auto"/>
        <w:bottom w:val="none" w:sz="0" w:space="0" w:color="auto"/>
        <w:right w:val="none" w:sz="0" w:space="0" w:color="auto"/>
      </w:divBdr>
    </w:div>
    <w:div w:id="801965701">
      <w:bodyDiv w:val="1"/>
      <w:marLeft w:val="0"/>
      <w:marRight w:val="0"/>
      <w:marTop w:val="0"/>
      <w:marBottom w:val="0"/>
      <w:divBdr>
        <w:top w:val="none" w:sz="0" w:space="0" w:color="auto"/>
        <w:left w:val="none" w:sz="0" w:space="0" w:color="auto"/>
        <w:bottom w:val="none" w:sz="0" w:space="0" w:color="auto"/>
        <w:right w:val="none" w:sz="0" w:space="0" w:color="auto"/>
      </w:divBdr>
    </w:div>
    <w:div w:id="807362889">
      <w:bodyDiv w:val="1"/>
      <w:marLeft w:val="0"/>
      <w:marRight w:val="0"/>
      <w:marTop w:val="0"/>
      <w:marBottom w:val="0"/>
      <w:divBdr>
        <w:top w:val="none" w:sz="0" w:space="0" w:color="auto"/>
        <w:left w:val="none" w:sz="0" w:space="0" w:color="auto"/>
        <w:bottom w:val="none" w:sz="0" w:space="0" w:color="auto"/>
        <w:right w:val="none" w:sz="0" w:space="0" w:color="auto"/>
      </w:divBdr>
    </w:div>
    <w:div w:id="1019039465">
      <w:bodyDiv w:val="1"/>
      <w:marLeft w:val="0"/>
      <w:marRight w:val="0"/>
      <w:marTop w:val="0"/>
      <w:marBottom w:val="0"/>
      <w:divBdr>
        <w:top w:val="none" w:sz="0" w:space="0" w:color="auto"/>
        <w:left w:val="none" w:sz="0" w:space="0" w:color="auto"/>
        <w:bottom w:val="none" w:sz="0" w:space="0" w:color="auto"/>
        <w:right w:val="none" w:sz="0" w:space="0" w:color="auto"/>
      </w:divBdr>
    </w:div>
    <w:div w:id="1020740960">
      <w:bodyDiv w:val="1"/>
      <w:marLeft w:val="0"/>
      <w:marRight w:val="0"/>
      <w:marTop w:val="0"/>
      <w:marBottom w:val="0"/>
      <w:divBdr>
        <w:top w:val="none" w:sz="0" w:space="0" w:color="auto"/>
        <w:left w:val="none" w:sz="0" w:space="0" w:color="auto"/>
        <w:bottom w:val="none" w:sz="0" w:space="0" w:color="auto"/>
        <w:right w:val="none" w:sz="0" w:space="0" w:color="auto"/>
      </w:divBdr>
    </w:div>
    <w:div w:id="1043754262">
      <w:bodyDiv w:val="1"/>
      <w:marLeft w:val="0"/>
      <w:marRight w:val="0"/>
      <w:marTop w:val="0"/>
      <w:marBottom w:val="0"/>
      <w:divBdr>
        <w:top w:val="none" w:sz="0" w:space="0" w:color="auto"/>
        <w:left w:val="none" w:sz="0" w:space="0" w:color="auto"/>
        <w:bottom w:val="none" w:sz="0" w:space="0" w:color="auto"/>
        <w:right w:val="none" w:sz="0" w:space="0" w:color="auto"/>
      </w:divBdr>
    </w:div>
    <w:div w:id="1144271050">
      <w:bodyDiv w:val="1"/>
      <w:marLeft w:val="0"/>
      <w:marRight w:val="0"/>
      <w:marTop w:val="0"/>
      <w:marBottom w:val="0"/>
      <w:divBdr>
        <w:top w:val="none" w:sz="0" w:space="0" w:color="auto"/>
        <w:left w:val="none" w:sz="0" w:space="0" w:color="auto"/>
        <w:bottom w:val="none" w:sz="0" w:space="0" w:color="auto"/>
        <w:right w:val="none" w:sz="0" w:space="0" w:color="auto"/>
      </w:divBdr>
    </w:div>
    <w:div w:id="1156261703">
      <w:bodyDiv w:val="1"/>
      <w:marLeft w:val="0"/>
      <w:marRight w:val="0"/>
      <w:marTop w:val="0"/>
      <w:marBottom w:val="0"/>
      <w:divBdr>
        <w:top w:val="none" w:sz="0" w:space="0" w:color="auto"/>
        <w:left w:val="none" w:sz="0" w:space="0" w:color="auto"/>
        <w:bottom w:val="none" w:sz="0" w:space="0" w:color="auto"/>
        <w:right w:val="none" w:sz="0" w:space="0" w:color="auto"/>
      </w:divBdr>
    </w:div>
    <w:div w:id="1157112899">
      <w:bodyDiv w:val="1"/>
      <w:marLeft w:val="0"/>
      <w:marRight w:val="0"/>
      <w:marTop w:val="0"/>
      <w:marBottom w:val="0"/>
      <w:divBdr>
        <w:top w:val="none" w:sz="0" w:space="0" w:color="auto"/>
        <w:left w:val="none" w:sz="0" w:space="0" w:color="auto"/>
        <w:bottom w:val="none" w:sz="0" w:space="0" w:color="auto"/>
        <w:right w:val="none" w:sz="0" w:space="0" w:color="auto"/>
      </w:divBdr>
    </w:div>
    <w:div w:id="1164660729">
      <w:bodyDiv w:val="1"/>
      <w:marLeft w:val="0"/>
      <w:marRight w:val="0"/>
      <w:marTop w:val="0"/>
      <w:marBottom w:val="0"/>
      <w:divBdr>
        <w:top w:val="none" w:sz="0" w:space="0" w:color="auto"/>
        <w:left w:val="none" w:sz="0" w:space="0" w:color="auto"/>
        <w:bottom w:val="none" w:sz="0" w:space="0" w:color="auto"/>
        <w:right w:val="none" w:sz="0" w:space="0" w:color="auto"/>
      </w:divBdr>
    </w:div>
    <w:div w:id="1214536431">
      <w:bodyDiv w:val="1"/>
      <w:marLeft w:val="0"/>
      <w:marRight w:val="0"/>
      <w:marTop w:val="0"/>
      <w:marBottom w:val="0"/>
      <w:divBdr>
        <w:top w:val="none" w:sz="0" w:space="0" w:color="auto"/>
        <w:left w:val="none" w:sz="0" w:space="0" w:color="auto"/>
        <w:bottom w:val="none" w:sz="0" w:space="0" w:color="auto"/>
        <w:right w:val="none" w:sz="0" w:space="0" w:color="auto"/>
      </w:divBdr>
    </w:div>
    <w:div w:id="1375959429">
      <w:bodyDiv w:val="1"/>
      <w:marLeft w:val="0"/>
      <w:marRight w:val="0"/>
      <w:marTop w:val="0"/>
      <w:marBottom w:val="0"/>
      <w:divBdr>
        <w:top w:val="none" w:sz="0" w:space="0" w:color="auto"/>
        <w:left w:val="none" w:sz="0" w:space="0" w:color="auto"/>
        <w:bottom w:val="none" w:sz="0" w:space="0" w:color="auto"/>
        <w:right w:val="none" w:sz="0" w:space="0" w:color="auto"/>
      </w:divBdr>
    </w:div>
    <w:div w:id="1440220746">
      <w:bodyDiv w:val="1"/>
      <w:marLeft w:val="0"/>
      <w:marRight w:val="0"/>
      <w:marTop w:val="0"/>
      <w:marBottom w:val="0"/>
      <w:divBdr>
        <w:top w:val="none" w:sz="0" w:space="0" w:color="auto"/>
        <w:left w:val="none" w:sz="0" w:space="0" w:color="auto"/>
        <w:bottom w:val="none" w:sz="0" w:space="0" w:color="auto"/>
        <w:right w:val="none" w:sz="0" w:space="0" w:color="auto"/>
      </w:divBdr>
    </w:div>
    <w:div w:id="1496874481">
      <w:bodyDiv w:val="1"/>
      <w:marLeft w:val="0"/>
      <w:marRight w:val="0"/>
      <w:marTop w:val="0"/>
      <w:marBottom w:val="0"/>
      <w:divBdr>
        <w:top w:val="none" w:sz="0" w:space="0" w:color="auto"/>
        <w:left w:val="none" w:sz="0" w:space="0" w:color="auto"/>
        <w:bottom w:val="none" w:sz="0" w:space="0" w:color="auto"/>
        <w:right w:val="none" w:sz="0" w:space="0" w:color="auto"/>
      </w:divBdr>
    </w:div>
    <w:div w:id="1508716633">
      <w:bodyDiv w:val="1"/>
      <w:marLeft w:val="0"/>
      <w:marRight w:val="0"/>
      <w:marTop w:val="0"/>
      <w:marBottom w:val="0"/>
      <w:divBdr>
        <w:top w:val="none" w:sz="0" w:space="0" w:color="auto"/>
        <w:left w:val="none" w:sz="0" w:space="0" w:color="auto"/>
        <w:bottom w:val="none" w:sz="0" w:space="0" w:color="auto"/>
        <w:right w:val="none" w:sz="0" w:space="0" w:color="auto"/>
      </w:divBdr>
    </w:div>
    <w:div w:id="1675373769">
      <w:bodyDiv w:val="1"/>
      <w:marLeft w:val="0"/>
      <w:marRight w:val="0"/>
      <w:marTop w:val="0"/>
      <w:marBottom w:val="0"/>
      <w:divBdr>
        <w:top w:val="none" w:sz="0" w:space="0" w:color="auto"/>
        <w:left w:val="none" w:sz="0" w:space="0" w:color="auto"/>
        <w:bottom w:val="none" w:sz="0" w:space="0" w:color="auto"/>
        <w:right w:val="none" w:sz="0" w:space="0" w:color="auto"/>
      </w:divBdr>
    </w:div>
    <w:div w:id="1704403639">
      <w:bodyDiv w:val="1"/>
      <w:marLeft w:val="0"/>
      <w:marRight w:val="0"/>
      <w:marTop w:val="0"/>
      <w:marBottom w:val="0"/>
      <w:divBdr>
        <w:top w:val="none" w:sz="0" w:space="0" w:color="auto"/>
        <w:left w:val="none" w:sz="0" w:space="0" w:color="auto"/>
        <w:bottom w:val="none" w:sz="0" w:space="0" w:color="auto"/>
        <w:right w:val="none" w:sz="0" w:space="0" w:color="auto"/>
      </w:divBdr>
    </w:div>
    <w:div w:id="1811828521">
      <w:bodyDiv w:val="1"/>
      <w:marLeft w:val="0"/>
      <w:marRight w:val="0"/>
      <w:marTop w:val="0"/>
      <w:marBottom w:val="0"/>
      <w:divBdr>
        <w:top w:val="none" w:sz="0" w:space="0" w:color="auto"/>
        <w:left w:val="none" w:sz="0" w:space="0" w:color="auto"/>
        <w:bottom w:val="none" w:sz="0" w:space="0" w:color="auto"/>
        <w:right w:val="none" w:sz="0" w:space="0" w:color="auto"/>
      </w:divBdr>
    </w:div>
    <w:div w:id="1819374387">
      <w:bodyDiv w:val="1"/>
      <w:marLeft w:val="0"/>
      <w:marRight w:val="0"/>
      <w:marTop w:val="0"/>
      <w:marBottom w:val="0"/>
      <w:divBdr>
        <w:top w:val="none" w:sz="0" w:space="0" w:color="auto"/>
        <w:left w:val="none" w:sz="0" w:space="0" w:color="auto"/>
        <w:bottom w:val="none" w:sz="0" w:space="0" w:color="auto"/>
        <w:right w:val="none" w:sz="0" w:space="0" w:color="auto"/>
      </w:divBdr>
    </w:div>
    <w:div w:id="1836725722">
      <w:bodyDiv w:val="1"/>
      <w:marLeft w:val="0"/>
      <w:marRight w:val="0"/>
      <w:marTop w:val="0"/>
      <w:marBottom w:val="0"/>
      <w:divBdr>
        <w:top w:val="none" w:sz="0" w:space="0" w:color="auto"/>
        <w:left w:val="none" w:sz="0" w:space="0" w:color="auto"/>
        <w:bottom w:val="none" w:sz="0" w:space="0" w:color="auto"/>
        <w:right w:val="none" w:sz="0" w:space="0" w:color="auto"/>
      </w:divBdr>
    </w:div>
    <w:div w:id="1995521068">
      <w:bodyDiv w:val="1"/>
      <w:marLeft w:val="0"/>
      <w:marRight w:val="0"/>
      <w:marTop w:val="0"/>
      <w:marBottom w:val="0"/>
      <w:divBdr>
        <w:top w:val="none" w:sz="0" w:space="0" w:color="auto"/>
        <w:left w:val="none" w:sz="0" w:space="0" w:color="auto"/>
        <w:bottom w:val="none" w:sz="0" w:space="0" w:color="auto"/>
        <w:right w:val="none" w:sz="0" w:space="0" w:color="auto"/>
      </w:divBdr>
    </w:div>
    <w:div w:id="2010593118">
      <w:bodyDiv w:val="1"/>
      <w:marLeft w:val="0"/>
      <w:marRight w:val="0"/>
      <w:marTop w:val="0"/>
      <w:marBottom w:val="0"/>
      <w:divBdr>
        <w:top w:val="none" w:sz="0" w:space="0" w:color="auto"/>
        <w:left w:val="none" w:sz="0" w:space="0" w:color="auto"/>
        <w:bottom w:val="none" w:sz="0" w:space="0" w:color="auto"/>
        <w:right w:val="none" w:sz="0" w:space="0" w:color="auto"/>
      </w:divBdr>
    </w:div>
    <w:div w:id="2035762230">
      <w:bodyDiv w:val="1"/>
      <w:marLeft w:val="0"/>
      <w:marRight w:val="0"/>
      <w:marTop w:val="0"/>
      <w:marBottom w:val="0"/>
      <w:divBdr>
        <w:top w:val="none" w:sz="0" w:space="0" w:color="auto"/>
        <w:left w:val="none" w:sz="0" w:space="0" w:color="auto"/>
        <w:bottom w:val="none" w:sz="0" w:space="0" w:color="auto"/>
        <w:right w:val="none" w:sz="0" w:space="0" w:color="auto"/>
      </w:divBdr>
    </w:div>
    <w:div w:id="2075351469">
      <w:bodyDiv w:val="1"/>
      <w:marLeft w:val="0"/>
      <w:marRight w:val="0"/>
      <w:marTop w:val="0"/>
      <w:marBottom w:val="0"/>
      <w:divBdr>
        <w:top w:val="none" w:sz="0" w:space="0" w:color="auto"/>
        <w:left w:val="none" w:sz="0" w:space="0" w:color="auto"/>
        <w:bottom w:val="none" w:sz="0" w:space="0" w:color="auto"/>
        <w:right w:val="none" w:sz="0" w:space="0" w:color="auto"/>
      </w:divBdr>
    </w:div>
    <w:div w:id="2110158920">
      <w:bodyDiv w:val="1"/>
      <w:marLeft w:val="0"/>
      <w:marRight w:val="0"/>
      <w:marTop w:val="0"/>
      <w:marBottom w:val="0"/>
      <w:divBdr>
        <w:top w:val="none" w:sz="0" w:space="0" w:color="auto"/>
        <w:left w:val="none" w:sz="0" w:space="0" w:color="auto"/>
        <w:bottom w:val="none" w:sz="0" w:space="0" w:color="auto"/>
        <w:right w:val="none" w:sz="0" w:space="0" w:color="auto"/>
      </w:divBdr>
    </w:div>
    <w:div w:id="21405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323-OSMP-UT@banque-france.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banque-france.fr/stabilite-financiere/securite-des-moyens-de-paiement-scripturaux/collectes-statistiques-reglementaires-espace-declarants/collecte-pour-le-compte-de-lobservatoire-de-la-securite-des-moyens-de-paie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nque-france.fr/en/liste-chronologique/annual-activity-report"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6B647-B46C-4D82-A2D9-36FCAC63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3460</Words>
  <Characters>19035</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GUIHENEUC</dc:creator>
  <cp:lastModifiedBy>MOCEK Adrien (DGMP DESP)</cp:lastModifiedBy>
  <cp:revision>4</cp:revision>
  <cp:lastPrinted>2019-02-07T10:38:00Z</cp:lastPrinted>
  <dcterms:created xsi:type="dcterms:W3CDTF">2023-07-24T12:42:00Z</dcterms:created>
  <dcterms:modified xsi:type="dcterms:W3CDTF">2024-01-15T14:20:00Z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257537</vt:lpwstr>
  </property>
  <property fmtid="{D5CDD505-2E9C-101B-9397-08002B2CF9AE}" pid="3" name="NXPowerLiteSettings">
    <vt:lpwstr>C7000400038000</vt:lpwstr>
  </property>
  <property fmtid="{D5CDD505-2E9C-101B-9397-08002B2CF9AE}" pid="4" name="NXPowerLiteVersion">
    <vt:lpwstr>S10.0.0</vt:lpwstr>
  </property>
</Properties>
</file>