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C9" w:rsidRDefault="007335C9"/>
    <w:tbl>
      <w:tblPr>
        <w:tblW w:w="0" w:type="auto"/>
        <w:jc w:val="center"/>
        <w:tblBorders>
          <w:insideH w:val="single" w:sz="6" w:space="0" w:color="1F497D"/>
          <w:insideV w:val="single" w:sz="6" w:space="0" w:color="1F497D"/>
        </w:tblBorders>
        <w:tblLayout w:type="fixed"/>
        <w:tblCellMar>
          <w:left w:w="0" w:type="dxa"/>
          <w:right w:w="0" w:type="dxa"/>
        </w:tblCellMar>
        <w:tblLook w:val="0000" w:firstRow="0" w:lastRow="0" w:firstColumn="0" w:lastColumn="0" w:noHBand="0" w:noVBand="0"/>
      </w:tblPr>
      <w:tblGrid>
        <w:gridCol w:w="6023"/>
      </w:tblGrid>
      <w:tr w:rsidR="00DC3951" w:rsidRPr="00FA0CEC" w:rsidTr="00F04D06">
        <w:trPr>
          <w:jc w:val="center"/>
        </w:trPr>
        <w:tc>
          <w:tcPr>
            <w:tcW w:w="6023" w:type="dxa"/>
          </w:tcPr>
          <w:p w:rsidR="00F04D06" w:rsidRPr="00657412" w:rsidRDefault="00F77357" w:rsidP="00F04D06">
            <w:pPr>
              <w:pStyle w:val="titrecouverture19pt"/>
              <w:ind w:firstLine="0"/>
              <w:rPr>
                <w:rFonts w:ascii="Times New Roman" w:hAnsi="Times New Roman" w:cs="Times New Roman"/>
                <w:color w:val="1F497D"/>
              </w:rPr>
            </w:pPr>
            <w:r>
              <w:rPr>
                <w:rFonts w:ascii="Times New Roman" w:hAnsi="Times New Roman" w:cs="Times New Roman"/>
                <w:noProof/>
                <w:color w:val="1F497D"/>
              </w:rPr>
              <w:drawing>
                <wp:inline distT="0" distB="0" distL="0" distR="0">
                  <wp:extent cx="3276600" cy="47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3276600" cy="47625"/>
                          </a:xfrm>
                          <a:prstGeom prst="rect">
                            <a:avLst/>
                          </a:prstGeom>
                          <a:noFill/>
                          <a:ln>
                            <a:noFill/>
                          </a:ln>
                        </pic:spPr>
                      </pic:pic>
                    </a:graphicData>
                  </a:graphic>
                </wp:inline>
              </w:drawing>
            </w:r>
          </w:p>
          <w:p w:rsidR="00F04D06" w:rsidRPr="00307D92" w:rsidRDefault="00F04D06" w:rsidP="00F04D06">
            <w:pPr>
              <w:jc w:val="center"/>
              <w:rPr>
                <w:rFonts w:ascii="Arial" w:hAnsi="Arial" w:cs="Arial"/>
                <w:sz w:val="24"/>
                <w:szCs w:val="24"/>
              </w:rPr>
            </w:pPr>
          </w:p>
          <w:p w:rsidR="00F04D06" w:rsidRPr="00307D92" w:rsidRDefault="00F04D06" w:rsidP="00F04D06">
            <w:pPr>
              <w:pStyle w:val="Couverture18"/>
              <w:rPr>
                <w:b w:val="0"/>
                <w:sz w:val="24"/>
                <w:szCs w:val="24"/>
              </w:rPr>
            </w:pPr>
          </w:p>
          <w:p w:rsidR="007B703F" w:rsidRDefault="000A591C" w:rsidP="000A591C">
            <w:pPr>
              <w:pStyle w:val="Chapeau1"/>
              <w:spacing w:before="120"/>
              <w:rPr>
                <w:color w:val="1F497D"/>
                <w:sz w:val="40"/>
                <w:szCs w:val="40"/>
              </w:rPr>
            </w:pPr>
            <w:r w:rsidRPr="00F04D06">
              <w:rPr>
                <w:color w:val="1F497D"/>
                <w:sz w:val="40"/>
                <w:szCs w:val="40"/>
              </w:rPr>
              <w:t xml:space="preserve">Déclaration </w:t>
            </w:r>
            <w:r w:rsidR="008E0558">
              <w:rPr>
                <w:color w:val="1F497D"/>
                <w:sz w:val="40"/>
                <w:szCs w:val="40"/>
              </w:rPr>
              <w:t>mensuelle</w:t>
            </w:r>
          </w:p>
          <w:p w:rsidR="00DC3951" w:rsidRPr="00F04D06" w:rsidRDefault="008E0558" w:rsidP="008E0558">
            <w:pPr>
              <w:pStyle w:val="Chapeau1"/>
              <w:spacing w:before="120"/>
              <w:rPr>
                <w:color w:val="1F497D"/>
                <w:sz w:val="40"/>
                <w:szCs w:val="40"/>
              </w:rPr>
            </w:pPr>
            <w:r>
              <w:rPr>
                <w:color w:val="1F497D"/>
                <w:sz w:val="40"/>
                <w:szCs w:val="40"/>
              </w:rPr>
              <w:t>RTE</w:t>
            </w:r>
          </w:p>
        </w:tc>
      </w:tr>
    </w:tbl>
    <w:p w:rsidR="00F04D06" w:rsidRPr="00410F05" w:rsidRDefault="00F04D06" w:rsidP="00F04D06">
      <w:pPr>
        <w:pStyle w:val="Couverture18"/>
        <w:rPr>
          <w:rFonts w:ascii="Times New Roman" w:hAnsi="Times New Roman" w:cs="Times New Roman"/>
        </w:rPr>
      </w:pPr>
      <w:r w:rsidRPr="00410F05">
        <w:rPr>
          <w:rFonts w:ascii="Times New Roman" w:hAnsi="Times New Roman" w:cs="Times New Roman"/>
        </w:rPr>
        <w:t>__________________________</w:t>
      </w:r>
    </w:p>
    <w:p w:rsidR="009A705E" w:rsidRDefault="009A705E" w:rsidP="00244D47">
      <w:pPr>
        <w:jc w:val="center"/>
        <w:rPr>
          <w:color w:val="1F497D"/>
          <w:sz w:val="24"/>
          <w:szCs w:val="24"/>
        </w:rPr>
      </w:pPr>
    </w:p>
    <w:p w:rsidR="00244D47" w:rsidRPr="00244D47" w:rsidRDefault="00244D47" w:rsidP="00244D47">
      <w:pPr>
        <w:jc w:val="center"/>
        <w:rPr>
          <w:color w:val="1F497D"/>
          <w:sz w:val="24"/>
          <w:szCs w:val="24"/>
        </w:rPr>
      </w:pPr>
    </w:p>
    <w:p w:rsidR="00244D47" w:rsidRPr="00147FA4" w:rsidRDefault="008E0558" w:rsidP="007B703F">
      <w:pPr>
        <w:pStyle w:val="Chapeau2"/>
        <w:spacing w:after="0"/>
        <w:ind w:left="-426" w:right="-427"/>
        <w:rPr>
          <w:color w:val="1F497D"/>
          <w:szCs w:val="32"/>
        </w:rPr>
      </w:pPr>
      <w:r>
        <w:rPr>
          <w:color w:val="1F497D"/>
          <w:szCs w:val="32"/>
        </w:rPr>
        <w:t>RELEV</w:t>
      </w:r>
      <w:r w:rsidRPr="00147FA4">
        <w:rPr>
          <w:color w:val="1F497D"/>
          <w:szCs w:val="32"/>
        </w:rPr>
        <w:t>É</w:t>
      </w:r>
      <w:r>
        <w:rPr>
          <w:color w:val="1F497D"/>
          <w:szCs w:val="32"/>
        </w:rPr>
        <w:t xml:space="preserve"> DES TRANSACTIONS </w:t>
      </w:r>
      <w:r w:rsidR="00BC0E4E">
        <w:rPr>
          <w:color w:val="1F497D"/>
          <w:szCs w:val="32"/>
        </w:rPr>
        <w:t>É</w:t>
      </w:r>
      <w:r>
        <w:rPr>
          <w:color w:val="1F497D"/>
          <w:szCs w:val="32"/>
        </w:rPr>
        <w:t>CONOMIQUES</w:t>
      </w:r>
    </w:p>
    <w:p w:rsidR="00DC3951" w:rsidRPr="00147FA4" w:rsidRDefault="008E0558" w:rsidP="007B703F">
      <w:pPr>
        <w:pStyle w:val="Chapeau2"/>
        <w:spacing w:after="0"/>
        <w:ind w:left="-426" w:right="-427"/>
        <w:rPr>
          <w:color w:val="1F497D"/>
          <w:szCs w:val="32"/>
        </w:rPr>
      </w:pPr>
      <w:r>
        <w:rPr>
          <w:color w:val="1F497D"/>
          <w:szCs w:val="32"/>
        </w:rPr>
        <w:t>AVEC</w:t>
      </w:r>
      <w:r w:rsidR="00A134F6" w:rsidRPr="00147FA4">
        <w:rPr>
          <w:color w:val="1F497D"/>
          <w:szCs w:val="32"/>
        </w:rPr>
        <w:t xml:space="preserve"> DES NON-R</w:t>
      </w:r>
      <w:r w:rsidR="004B6991" w:rsidRPr="00147FA4">
        <w:rPr>
          <w:color w:val="1F497D"/>
          <w:szCs w:val="32"/>
        </w:rPr>
        <w:t>É</w:t>
      </w:r>
      <w:r w:rsidR="00A134F6" w:rsidRPr="00147FA4">
        <w:rPr>
          <w:color w:val="1F497D"/>
          <w:szCs w:val="32"/>
        </w:rPr>
        <w:t>SIDENTS</w:t>
      </w:r>
    </w:p>
    <w:p w:rsidR="00F04D06" w:rsidRPr="00410F05" w:rsidRDefault="00F04D06" w:rsidP="007335C9">
      <w:pPr>
        <w:pStyle w:val="Couverture18"/>
        <w:spacing w:before="240"/>
        <w:rPr>
          <w:rFonts w:ascii="Times New Roman" w:hAnsi="Times New Roman" w:cs="Times New Roman"/>
        </w:rPr>
      </w:pPr>
      <w:r w:rsidRPr="00410F05">
        <w:rPr>
          <w:rFonts w:ascii="Times New Roman" w:hAnsi="Times New Roman" w:cs="Times New Roman"/>
        </w:rPr>
        <w:t>__________________________</w:t>
      </w:r>
    </w:p>
    <w:p w:rsidR="00F04D06" w:rsidRPr="00307D92" w:rsidRDefault="00F04D06" w:rsidP="00F04D06">
      <w:pPr>
        <w:jc w:val="center"/>
        <w:rPr>
          <w:rFonts w:ascii="Arial" w:hAnsi="Arial" w:cs="Arial"/>
          <w:sz w:val="24"/>
          <w:szCs w:val="24"/>
        </w:rPr>
      </w:pPr>
    </w:p>
    <w:p w:rsidR="00244D47" w:rsidRDefault="00244D47" w:rsidP="00244D47">
      <w:pPr>
        <w:jc w:val="center"/>
        <w:rPr>
          <w:color w:val="1F497D"/>
        </w:rPr>
      </w:pPr>
    </w:p>
    <w:p w:rsidR="007335C9" w:rsidRDefault="007335C9" w:rsidP="00244D47">
      <w:pPr>
        <w:jc w:val="center"/>
        <w:rPr>
          <w:rFonts w:ascii="Arial" w:hAnsi="Arial" w:cs="Arial"/>
          <w:b/>
          <w:color w:val="1F497D"/>
          <w:sz w:val="32"/>
          <w:szCs w:val="32"/>
        </w:rPr>
      </w:pPr>
    </w:p>
    <w:p w:rsidR="00244D47" w:rsidRDefault="00244D47" w:rsidP="00244D47">
      <w:pPr>
        <w:jc w:val="center"/>
        <w:rPr>
          <w:rFonts w:ascii="Arial" w:hAnsi="Arial" w:cs="Arial"/>
          <w:b/>
          <w:color w:val="1F497D"/>
          <w:sz w:val="32"/>
          <w:szCs w:val="32"/>
        </w:rPr>
      </w:pPr>
      <w:r w:rsidRPr="00F04D06">
        <w:rPr>
          <w:rFonts w:ascii="Arial" w:hAnsi="Arial" w:cs="Arial"/>
          <w:b/>
          <w:color w:val="1F497D"/>
          <w:sz w:val="32"/>
          <w:szCs w:val="32"/>
        </w:rPr>
        <w:t>Not</w:t>
      </w:r>
      <w:r w:rsidR="005F6532">
        <w:rPr>
          <w:rFonts w:ascii="Arial" w:hAnsi="Arial" w:cs="Arial"/>
          <w:b/>
          <w:color w:val="1F497D"/>
          <w:sz w:val="32"/>
          <w:szCs w:val="32"/>
        </w:rPr>
        <w:t>ic</w:t>
      </w:r>
      <w:r w:rsidRPr="00F04D06">
        <w:rPr>
          <w:rFonts w:ascii="Arial" w:hAnsi="Arial" w:cs="Arial"/>
          <w:b/>
          <w:color w:val="1F497D"/>
          <w:sz w:val="32"/>
          <w:szCs w:val="32"/>
        </w:rPr>
        <w:t>e méthodologique</w:t>
      </w:r>
    </w:p>
    <w:p w:rsidR="002F2DED" w:rsidRPr="00F04D06" w:rsidRDefault="002F2DED" w:rsidP="00244D47">
      <w:pPr>
        <w:jc w:val="center"/>
        <w:rPr>
          <w:rFonts w:ascii="Arial" w:hAnsi="Arial" w:cs="Arial"/>
          <w:b/>
          <w:color w:val="1F497D"/>
          <w:sz w:val="32"/>
          <w:szCs w:val="32"/>
        </w:rPr>
      </w:pPr>
      <w:r>
        <w:rPr>
          <w:rFonts w:ascii="Arial" w:hAnsi="Arial" w:cs="Arial"/>
          <w:b/>
          <w:color w:val="1F497D"/>
          <w:sz w:val="32"/>
          <w:szCs w:val="32"/>
        </w:rPr>
        <w:t>à l’attention des Déclarants Directs Généraux</w:t>
      </w:r>
    </w:p>
    <w:p w:rsidR="00244D47" w:rsidRDefault="00244D47" w:rsidP="00244D47">
      <w:pPr>
        <w:jc w:val="center"/>
        <w:rPr>
          <w:rFonts w:ascii="Arial" w:hAnsi="Arial" w:cs="Arial"/>
          <w:color w:val="1F497D"/>
          <w:sz w:val="32"/>
          <w:szCs w:val="32"/>
        </w:rPr>
      </w:pPr>
    </w:p>
    <w:p w:rsidR="002F2DED" w:rsidRPr="00F04D06" w:rsidRDefault="002F2DED" w:rsidP="00244D47">
      <w:pPr>
        <w:jc w:val="center"/>
        <w:rPr>
          <w:rFonts w:ascii="Arial" w:hAnsi="Arial" w:cs="Arial"/>
          <w:color w:val="1F497D"/>
          <w:sz w:val="32"/>
          <w:szCs w:val="32"/>
        </w:rPr>
      </w:pPr>
    </w:p>
    <w:p w:rsidR="00244D47" w:rsidRPr="00F04D06" w:rsidRDefault="00244D47" w:rsidP="00244D47">
      <w:pPr>
        <w:jc w:val="center"/>
        <w:rPr>
          <w:rFonts w:ascii="Arial" w:hAnsi="Arial" w:cs="Arial"/>
          <w:b/>
          <w:color w:val="1F497D"/>
          <w:sz w:val="32"/>
          <w:szCs w:val="32"/>
        </w:rPr>
      </w:pPr>
    </w:p>
    <w:p w:rsidR="00244D47" w:rsidRDefault="00244D47" w:rsidP="00244D47">
      <w:pPr>
        <w:rPr>
          <w:b/>
          <w:color w:val="1F497D"/>
        </w:rPr>
      </w:pPr>
    </w:p>
    <w:p w:rsidR="00244D47" w:rsidRDefault="00244D47" w:rsidP="00244D47">
      <w:pPr>
        <w:rPr>
          <w:b/>
          <w:color w:val="1F497D"/>
        </w:rPr>
      </w:pPr>
    </w:p>
    <w:p w:rsidR="00244D47" w:rsidRDefault="00244D47" w:rsidP="00244D47">
      <w:pPr>
        <w:rPr>
          <w:b/>
          <w:color w:val="1F497D"/>
        </w:rPr>
      </w:pPr>
    </w:p>
    <w:p w:rsidR="00244D47" w:rsidRDefault="00244D47" w:rsidP="00244D47">
      <w:pPr>
        <w:rPr>
          <w:b/>
          <w:color w:val="1F497D"/>
        </w:rPr>
      </w:pPr>
    </w:p>
    <w:p w:rsidR="000A591C" w:rsidRDefault="000A591C" w:rsidP="00244D47">
      <w:pPr>
        <w:rPr>
          <w:b/>
          <w:color w:val="1F497D"/>
        </w:rPr>
      </w:pPr>
    </w:p>
    <w:p w:rsidR="007335C9" w:rsidRDefault="007335C9" w:rsidP="00244D47">
      <w:pPr>
        <w:rPr>
          <w:b/>
          <w:color w:val="1F497D"/>
        </w:rPr>
      </w:pPr>
    </w:p>
    <w:p w:rsidR="007335C9" w:rsidRDefault="007335C9" w:rsidP="00244D47">
      <w:pPr>
        <w:rPr>
          <w:b/>
          <w:color w:val="1F497D"/>
        </w:rPr>
      </w:pPr>
    </w:p>
    <w:p w:rsidR="00244D47" w:rsidRDefault="00F77357" w:rsidP="00FA0CEC">
      <w:pPr>
        <w:jc w:val="center"/>
        <w:rPr>
          <w:b/>
          <w:color w:val="1F497D"/>
        </w:rPr>
      </w:pPr>
      <w:r>
        <w:rPr>
          <w:b/>
          <w:noProof/>
          <w:color w:val="1F497D"/>
        </w:rPr>
        <w:drawing>
          <wp:inline distT="0" distB="0" distL="0" distR="0">
            <wp:extent cx="2867025" cy="14382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1438275"/>
                    </a:xfrm>
                    <a:prstGeom prst="rect">
                      <a:avLst/>
                    </a:prstGeom>
                    <a:noFill/>
                    <a:ln>
                      <a:noFill/>
                    </a:ln>
                  </pic:spPr>
                </pic:pic>
              </a:graphicData>
            </a:graphic>
          </wp:inline>
        </w:drawing>
      </w:r>
    </w:p>
    <w:p w:rsidR="00244D47" w:rsidRDefault="00244D47" w:rsidP="00244D47">
      <w:pPr>
        <w:rPr>
          <w:b/>
          <w:color w:val="1F497D"/>
        </w:rPr>
      </w:pPr>
    </w:p>
    <w:p w:rsidR="00F04D06" w:rsidRPr="00263B27" w:rsidRDefault="00F04D06" w:rsidP="00F04D06">
      <w:pPr>
        <w:pStyle w:val="logocouverture"/>
        <w:framePr w:w="0" w:hRule="auto" w:wrap="auto" w:vAnchor="margin" w:hAnchor="text" w:xAlign="left" w:yAlign="inline"/>
        <w:ind w:left="2268" w:right="2125" w:firstLine="0"/>
        <w:jc w:val="both"/>
        <w:rPr>
          <w:rFonts w:ascii="Times New Roman" w:hAnsi="Times New Roman" w:cs="Times New Roman"/>
          <w:sz w:val="24"/>
          <w:szCs w:val="24"/>
        </w:rPr>
      </w:pPr>
    </w:p>
    <w:p w:rsidR="00F04D06" w:rsidRDefault="00F04D06" w:rsidP="00F04D06"/>
    <w:p w:rsidR="00244D47" w:rsidRDefault="00244D47" w:rsidP="00244D47">
      <w:pPr>
        <w:rPr>
          <w:b/>
          <w:color w:val="1F497D"/>
        </w:rPr>
      </w:pPr>
    </w:p>
    <w:p w:rsidR="00244D47" w:rsidRDefault="00244D47" w:rsidP="00244D47">
      <w:pPr>
        <w:rPr>
          <w:b/>
          <w:color w:val="1F497D"/>
        </w:rPr>
      </w:pPr>
    </w:p>
    <w:p w:rsidR="00244D47" w:rsidRDefault="00244D47" w:rsidP="00244D47">
      <w:pPr>
        <w:rPr>
          <w:b/>
          <w:color w:val="1F497D"/>
        </w:rPr>
      </w:pPr>
    </w:p>
    <w:p w:rsidR="00244D47" w:rsidRDefault="00244D47" w:rsidP="00244D47">
      <w:pPr>
        <w:rPr>
          <w:b/>
          <w:color w:val="1F497D"/>
        </w:rPr>
      </w:pPr>
    </w:p>
    <w:p w:rsidR="002C3158" w:rsidRDefault="002C3158" w:rsidP="00244D47">
      <w:pPr>
        <w:rPr>
          <w:b/>
          <w:color w:val="1F497D"/>
        </w:rPr>
      </w:pPr>
    </w:p>
    <w:p w:rsidR="000F14B2" w:rsidRDefault="000F14B2" w:rsidP="007506B0">
      <w:pPr>
        <w:rPr>
          <w:b/>
          <w:szCs w:val="22"/>
        </w:rPr>
      </w:pPr>
    </w:p>
    <w:p w:rsidR="000F14B2" w:rsidRDefault="000F14B2" w:rsidP="007506B0">
      <w:pPr>
        <w:rPr>
          <w:b/>
          <w:szCs w:val="22"/>
        </w:rPr>
      </w:pPr>
    </w:p>
    <w:p w:rsidR="000F14B2" w:rsidRDefault="000F14B2" w:rsidP="007506B0">
      <w:pPr>
        <w:rPr>
          <w:b/>
          <w:szCs w:val="22"/>
        </w:rPr>
      </w:pPr>
    </w:p>
    <w:p w:rsidR="003D7F39" w:rsidRDefault="003D7F39" w:rsidP="007506B0">
      <w:pPr>
        <w:rPr>
          <w:b/>
          <w:szCs w:val="22"/>
        </w:rPr>
      </w:pPr>
    </w:p>
    <w:p w:rsidR="000F14B2" w:rsidRDefault="000F14B2" w:rsidP="007506B0">
      <w:pPr>
        <w:rPr>
          <w:b/>
          <w:szCs w:val="22"/>
        </w:rPr>
      </w:pPr>
    </w:p>
    <w:p w:rsidR="00E959FD" w:rsidRDefault="00E959FD" w:rsidP="007506B0">
      <w:pPr>
        <w:rPr>
          <w:b/>
          <w:szCs w:val="22"/>
        </w:rPr>
      </w:pPr>
    </w:p>
    <w:p w:rsidR="00B21AB5" w:rsidRPr="00A74928" w:rsidRDefault="007506B0" w:rsidP="007506B0">
      <w:pPr>
        <w:rPr>
          <w:rFonts w:asciiTheme="minorHAnsi" w:hAnsiTheme="minorHAnsi"/>
          <w:b/>
          <w:szCs w:val="22"/>
        </w:rPr>
      </w:pPr>
      <w:r w:rsidRPr="00A74928">
        <w:rPr>
          <w:rFonts w:asciiTheme="minorHAnsi" w:hAnsiTheme="minorHAnsi"/>
          <w:b/>
          <w:szCs w:val="22"/>
        </w:rPr>
        <w:t xml:space="preserve">Le Relevé RTE a pour </w:t>
      </w:r>
      <w:r w:rsidR="006126A3" w:rsidRPr="00A74928">
        <w:rPr>
          <w:rFonts w:asciiTheme="minorHAnsi" w:hAnsiTheme="minorHAnsi"/>
          <w:b/>
          <w:szCs w:val="22"/>
        </w:rPr>
        <w:t>finalité</w:t>
      </w:r>
      <w:r w:rsidRPr="00A74928">
        <w:rPr>
          <w:rFonts w:asciiTheme="minorHAnsi" w:hAnsiTheme="minorHAnsi"/>
          <w:b/>
          <w:szCs w:val="22"/>
        </w:rPr>
        <w:t xml:space="preserve"> de </w:t>
      </w:r>
      <w:r w:rsidR="006126A3" w:rsidRPr="00A74928">
        <w:rPr>
          <w:rFonts w:asciiTheme="minorHAnsi" w:hAnsiTheme="minorHAnsi"/>
          <w:b/>
          <w:szCs w:val="22"/>
        </w:rPr>
        <w:t>recenser</w:t>
      </w:r>
      <w:r w:rsidRPr="00A74928">
        <w:rPr>
          <w:rFonts w:asciiTheme="minorHAnsi" w:hAnsiTheme="minorHAnsi"/>
          <w:b/>
          <w:szCs w:val="22"/>
        </w:rPr>
        <w:t xml:space="preserve"> </w:t>
      </w:r>
      <w:r w:rsidR="006126A3" w:rsidRPr="00A74928">
        <w:rPr>
          <w:rFonts w:asciiTheme="minorHAnsi" w:hAnsiTheme="minorHAnsi"/>
          <w:b/>
          <w:szCs w:val="22"/>
        </w:rPr>
        <w:t>mensuellement</w:t>
      </w:r>
      <w:r w:rsidRPr="00A74928">
        <w:rPr>
          <w:rFonts w:asciiTheme="minorHAnsi" w:hAnsiTheme="minorHAnsi"/>
          <w:b/>
          <w:szCs w:val="22"/>
        </w:rPr>
        <w:t xml:space="preserve"> </w:t>
      </w:r>
      <w:r w:rsidR="00FB6F33" w:rsidRPr="00A74928">
        <w:rPr>
          <w:rFonts w:asciiTheme="minorHAnsi" w:hAnsiTheme="minorHAnsi"/>
          <w:b/>
          <w:szCs w:val="22"/>
        </w:rPr>
        <w:t xml:space="preserve">pour les besoins de la balance des paiements </w:t>
      </w:r>
      <w:r w:rsidRPr="00A74928">
        <w:rPr>
          <w:rFonts w:asciiTheme="minorHAnsi" w:hAnsiTheme="minorHAnsi"/>
          <w:b/>
          <w:szCs w:val="22"/>
        </w:rPr>
        <w:t>l’</w:t>
      </w:r>
      <w:r w:rsidR="006126A3" w:rsidRPr="00A74928">
        <w:rPr>
          <w:rFonts w:asciiTheme="minorHAnsi" w:hAnsiTheme="minorHAnsi"/>
          <w:b/>
          <w:szCs w:val="22"/>
        </w:rPr>
        <w:t>ensemble</w:t>
      </w:r>
      <w:r w:rsidRPr="00A74928">
        <w:rPr>
          <w:rFonts w:asciiTheme="minorHAnsi" w:hAnsiTheme="minorHAnsi"/>
          <w:b/>
          <w:szCs w:val="22"/>
        </w:rPr>
        <w:t xml:space="preserve"> </w:t>
      </w:r>
      <w:r w:rsidR="00FB6F33" w:rsidRPr="00A74928">
        <w:rPr>
          <w:rFonts w:asciiTheme="minorHAnsi" w:hAnsiTheme="minorHAnsi"/>
          <w:b/>
          <w:szCs w:val="22"/>
        </w:rPr>
        <w:t>des transactions économiques réalisées</w:t>
      </w:r>
      <w:r w:rsidRPr="00A74928">
        <w:rPr>
          <w:rFonts w:asciiTheme="minorHAnsi" w:hAnsiTheme="minorHAnsi"/>
          <w:b/>
          <w:szCs w:val="22"/>
        </w:rPr>
        <w:t xml:space="preserve"> par les </w:t>
      </w:r>
      <w:r w:rsidR="002C3158" w:rsidRPr="00A74928">
        <w:rPr>
          <w:rFonts w:asciiTheme="minorHAnsi" w:hAnsiTheme="minorHAnsi"/>
          <w:b/>
          <w:szCs w:val="22"/>
        </w:rPr>
        <w:t>Déclarants Directs Généraux</w:t>
      </w:r>
      <w:r w:rsidR="006126A3" w:rsidRPr="00A74928">
        <w:rPr>
          <w:rFonts w:asciiTheme="minorHAnsi" w:hAnsiTheme="minorHAnsi"/>
          <w:b/>
          <w:szCs w:val="22"/>
        </w:rPr>
        <w:t xml:space="preserve"> a</w:t>
      </w:r>
      <w:r w:rsidRPr="00A74928">
        <w:rPr>
          <w:rFonts w:asciiTheme="minorHAnsi" w:hAnsiTheme="minorHAnsi"/>
          <w:b/>
          <w:szCs w:val="22"/>
        </w:rPr>
        <w:t>vec des non</w:t>
      </w:r>
      <w:r w:rsidR="000A0114" w:rsidRPr="00A74928">
        <w:rPr>
          <w:rFonts w:asciiTheme="minorHAnsi" w:hAnsiTheme="minorHAnsi"/>
          <w:b/>
          <w:szCs w:val="22"/>
        </w:rPr>
        <w:t>-</w:t>
      </w:r>
      <w:r w:rsidRPr="00A74928">
        <w:rPr>
          <w:rFonts w:asciiTheme="minorHAnsi" w:hAnsiTheme="minorHAnsi"/>
          <w:b/>
          <w:szCs w:val="22"/>
        </w:rPr>
        <w:t xml:space="preserve">résidents (sauf les achats et </w:t>
      </w:r>
      <w:r w:rsidR="006126A3" w:rsidRPr="00A74928">
        <w:rPr>
          <w:rFonts w:asciiTheme="minorHAnsi" w:hAnsiTheme="minorHAnsi"/>
          <w:b/>
          <w:szCs w:val="22"/>
        </w:rPr>
        <w:t>ventes</w:t>
      </w:r>
      <w:r w:rsidRPr="00A74928">
        <w:rPr>
          <w:rFonts w:asciiTheme="minorHAnsi" w:hAnsiTheme="minorHAnsi"/>
          <w:b/>
          <w:szCs w:val="22"/>
        </w:rPr>
        <w:t xml:space="preserve"> d</w:t>
      </w:r>
      <w:r w:rsidR="006126A3" w:rsidRPr="00A74928">
        <w:rPr>
          <w:rFonts w:asciiTheme="minorHAnsi" w:hAnsiTheme="minorHAnsi"/>
          <w:b/>
          <w:szCs w:val="22"/>
        </w:rPr>
        <w:t>e</w:t>
      </w:r>
      <w:r w:rsidRPr="00A74928">
        <w:rPr>
          <w:rFonts w:asciiTheme="minorHAnsi" w:hAnsiTheme="minorHAnsi"/>
          <w:b/>
          <w:szCs w:val="22"/>
        </w:rPr>
        <w:t xml:space="preserve"> </w:t>
      </w:r>
      <w:r w:rsidR="006126A3" w:rsidRPr="00A74928">
        <w:rPr>
          <w:rFonts w:asciiTheme="minorHAnsi" w:hAnsiTheme="minorHAnsi"/>
          <w:b/>
          <w:szCs w:val="22"/>
        </w:rPr>
        <w:t>marchandises</w:t>
      </w:r>
      <w:r w:rsidRPr="00A74928">
        <w:rPr>
          <w:rFonts w:asciiTheme="minorHAnsi" w:hAnsiTheme="minorHAnsi"/>
          <w:b/>
          <w:szCs w:val="22"/>
        </w:rPr>
        <w:t xml:space="preserve"> qui relèvent de </w:t>
      </w:r>
      <w:r w:rsidR="00FB6F33" w:rsidRPr="00A74928">
        <w:rPr>
          <w:rFonts w:asciiTheme="minorHAnsi" w:hAnsiTheme="minorHAnsi"/>
          <w:b/>
          <w:szCs w:val="22"/>
        </w:rPr>
        <w:t xml:space="preserve">déclarations </w:t>
      </w:r>
      <w:r w:rsidR="006126A3" w:rsidRPr="00A74928">
        <w:rPr>
          <w:rFonts w:asciiTheme="minorHAnsi" w:hAnsiTheme="minorHAnsi"/>
          <w:b/>
          <w:szCs w:val="22"/>
        </w:rPr>
        <w:t>auprès</w:t>
      </w:r>
      <w:r w:rsidRPr="00A74928">
        <w:rPr>
          <w:rFonts w:asciiTheme="minorHAnsi" w:hAnsiTheme="minorHAnsi"/>
          <w:b/>
          <w:szCs w:val="22"/>
        </w:rPr>
        <w:t xml:space="preserve"> de</w:t>
      </w:r>
      <w:r w:rsidR="006126A3" w:rsidRPr="00A74928">
        <w:rPr>
          <w:rFonts w:asciiTheme="minorHAnsi" w:hAnsiTheme="minorHAnsi"/>
          <w:b/>
          <w:szCs w:val="22"/>
        </w:rPr>
        <w:t>s services</w:t>
      </w:r>
      <w:r w:rsidRPr="00A74928">
        <w:rPr>
          <w:rFonts w:asciiTheme="minorHAnsi" w:hAnsiTheme="minorHAnsi"/>
          <w:b/>
          <w:szCs w:val="22"/>
        </w:rPr>
        <w:t xml:space="preserve"> douaniers français).</w:t>
      </w:r>
      <w:r w:rsidR="00FB6F33" w:rsidRPr="00A74928">
        <w:rPr>
          <w:rFonts w:asciiTheme="minorHAnsi" w:hAnsiTheme="minorHAnsi"/>
          <w:b/>
          <w:szCs w:val="22"/>
        </w:rPr>
        <w:t xml:space="preserve"> </w:t>
      </w:r>
    </w:p>
    <w:p w:rsidR="00B21AB5" w:rsidRPr="00A74928" w:rsidRDefault="00B21AB5" w:rsidP="007506B0">
      <w:pPr>
        <w:rPr>
          <w:rFonts w:asciiTheme="minorHAnsi" w:hAnsiTheme="minorHAnsi"/>
          <w:b/>
          <w:szCs w:val="22"/>
        </w:rPr>
      </w:pPr>
    </w:p>
    <w:p w:rsidR="002E018D" w:rsidRPr="00A74928" w:rsidRDefault="00FB6F33" w:rsidP="00330AE6">
      <w:pPr>
        <w:numPr>
          <w:ilvl w:val="0"/>
          <w:numId w:val="29"/>
        </w:numPr>
        <w:rPr>
          <w:rFonts w:asciiTheme="minorHAnsi" w:hAnsiTheme="minorHAnsi"/>
          <w:b/>
          <w:szCs w:val="22"/>
        </w:rPr>
      </w:pPr>
      <w:r w:rsidRPr="00A74928">
        <w:rPr>
          <w:rFonts w:asciiTheme="minorHAnsi" w:hAnsiTheme="minorHAnsi"/>
          <w:b/>
          <w:szCs w:val="22"/>
        </w:rPr>
        <w:t xml:space="preserve">Il </w:t>
      </w:r>
      <w:r w:rsidR="00B21AB5" w:rsidRPr="00A74928">
        <w:rPr>
          <w:rFonts w:asciiTheme="minorHAnsi" w:hAnsiTheme="minorHAnsi"/>
          <w:b/>
          <w:szCs w:val="22"/>
        </w:rPr>
        <w:t>reprend principalement sous forme de flux les données d’échanges de services et d’investissements directs</w:t>
      </w:r>
      <w:r w:rsidR="000A0114" w:rsidRPr="00A74928">
        <w:rPr>
          <w:rFonts w:asciiTheme="minorHAnsi" w:hAnsiTheme="minorHAnsi"/>
          <w:b/>
          <w:szCs w:val="22"/>
        </w:rPr>
        <w:t xml:space="preserve"> (cf. </w:t>
      </w:r>
      <w:r w:rsidR="00330AE6" w:rsidRPr="00A74928">
        <w:rPr>
          <w:rFonts w:asciiTheme="minorHAnsi" w:hAnsiTheme="minorHAnsi"/>
          <w:b/>
          <w:szCs w:val="22"/>
        </w:rPr>
        <w:t xml:space="preserve">paragraphe  </w:t>
      </w:r>
      <w:r w:rsidR="000A0114" w:rsidRPr="00A74928">
        <w:rPr>
          <w:rFonts w:asciiTheme="minorHAnsi" w:hAnsiTheme="minorHAnsi"/>
          <w:b/>
          <w:szCs w:val="22"/>
        </w:rPr>
        <w:t>2)</w:t>
      </w:r>
      <w:r w:rsidR="00B21AB5" w:rsidRPr="00A74928">
        <w:rPr>
          <w:rFonts w:asciiTheme="minorHAnsi" w:hAnsiTheme="minorHAnsi"/>
          <w:b/>
          <w:szCs w:val="22"/>
        </w:rPr>
        <w:t xml:space="preserve">. Il </w:t>
      </w:r>
      <w:r w:rsidRPr="00A74928">
        <w:rPr>
          <w:rFonts w:asciiTheme="minorHAnsi" w:hAnsiTheme="minorHAnsi"/>
          <w:b/>
          <w:szCs w:val="22"/>
        </w:rPr>
        <w:t>exc</w:t>
      </w:r>
      <w:r w:rsidR="007B2949" w:rsidRPr="00A74928">
        <w:rPr>
          <w:rFonts w:asciiTheme="minorHAnsi" w:hAnsiTheme="minorHAnsi"/>
          <w:b/>
          <w:szCs w:val="22"/>
        </w:rPr>
        <w:t>lut les</w:t>
      </w:r>
      <w:r w:rsidR="00DD1C8B" w:rsidRPr="00A74928">
        <w:rPr>
          <w:rFonts w:asciiTheme="minorHAnsi" w:hAnsiTheme="minorHAnsi"/>
          <w:b/>
          <w:szCs w:val="22"/>
        </w:rPr>
        <w:t xml:space="preserve"> opérations sur titres, non déclarables par les DDG, ainsi que les </w:t>
      </w:r>
      <w:r w:rsidR="00351088" w:rsidRPr="00A74928">
        <w:rPr>
          <w:rFonts w:asciiTheme="minorHAnsi" w:hAnsiTheme="minorHAnsi"/>
          <w:b/>
          <w:szCs w:val="22"/>
        </w:rPr>
        <w:t xml:space="preserve">mouvements sur </w:t>
      </w:r>
      <w:r w:rsidR="00DD1C8B" w:rsidRPr="00A74928">
        <w:rPr>
          <w:rFonts w:asciiTheme="minorHAnsi" w:hAnsiTheme="minorHAnsi"/>
          <w:b/>
          <w:szCs w:val="22"/>
        </w:rPr>
        <w:t xml:space="preserve"> prêts</w:t>
      </w:r>
      <w:r w:rsidR="00F7761F" w:rsidRPr="00A74928">
        <w:rPr>
          <w:rFonts w:asciiTheme="minorHAnsi" w:hAnsiTheme="minorHAnsi"/>
          <w:b/>
          <w:szCs w:val="22"/>
        </w:rPr>
        <w:t xml:space="preserve"> </w:t>
      </w:r>
      <w:r w:rsidR="00820C29" w:rsidRPr="00A74928">
        <w:rPr>
          <w:rFonts w:asciiTheme="minorHAnsi" w:hAnsiTheme="minorHAnsi"/>
          <w:b/>
          <w:szCs w:val="22"/>
        </w:rPr>
        <w:t>–</w:t>
      </w:r>
      <w:r w:rsidR="00DD1C8B" w:rsidRPr="00A74928">
        <w:rPr>
          <w:rFonts w:asciiTheme="minorHAnsi" w:hAnsiTheme="minorHAnsi"/>
          <w:b/>
          <w:szCs w:val="22"/>
        </w:rPr>
        <w:t xml:space="preserve"> emprunts</w:t>
      </w:r>
      <w:r w:rsidR="00820C29" w:rsidRPr="00A74928">
        <w:rPr>
          <w:rFonts w:asciiTheme="minorHAnsi" w:hAnsiTheme="minorHAnsi"/>
          <w:b/>
          <w:szCs w:val="22"/>
        </w:rPr>
        <w:t>, comptes courants</w:t>
      </w:r>
      <w:r w:rsidR="00DD1C8B" w:rsidRPr="00A74928">
        <w:rPr>
          <w:rFonts w:asciiTheme="minorHAnsi" w:hAnsiTheme="minorHAnsi"/>
          <w:b/>
          <w:szCs w:val="22"/>
        </w:rPr>
        <w:t xml:space="preserve"> et crédits commerciaux, dont les encours sont repris dans les déclarations trimestrielles EFI et ECO.</w:t>
      </w:r>
    </w:p>
    <w:p w:rsidR="00330AE6" w:rsidRPr="00A74928" w:rsidRDefault="00330AE6" w:rsidP="00330AE6">
      <w:pPr>
        <w:ind w:left="720"/>
        <w:rPr>
          <w:rFonts w:asciiTheme="minorHAnsi" w:hAnsiTheme="minorHAnsi"/>
          <w:b/>
          <w:szCs w:val="22"/>
        </w:rPr>
      </w:pPr>
    </w:p>
    <w:p w:rsidR="00330AE6" w:rsidRPr="00A74928" w:rsidRDefault="00330AE6" w:rsidP="00330AE6">
      <w:pPr>
        <w:numPr>
          <w:ilvl w:val="0"/>
          <w:numId w:val="29"/>
        </w:numPr>
        <w:rPr>
          <w:rFonts w:asciiTheme="minorHAnsi" w:hAnsiTheme="minorHAnsi"/>
          <w:b/>
          <w:szCs w:val="22"/>
        </w:rPr>
      </w:pPr>
      <w:r w:rsidRPr="00A74928">
        <w:rPr>
          <w:rFonts w:asciiTheme="minorHAnsi" w:hAnsiTheme="minorHAnsi"/>
          <w:b/>
          <w:szCs w:val="22"/>
        </w:rPr>
        <w:t>Il doit prendre prioritairement pour référence les dates auxquelles les droits respectifs dans les échanges économiques ont été constatés (application du principe d’enregistrement en transactions – cf. paragraphe 1).</w:t>
      </w:r>
    </w:p>
    <w:p w:rsidR="00DD1C8B" w:rsidRPr="00A74928" w:rsidRDefault="00DD1C8B" w:rsidP="007506B0">
      <w:pPr>
        <w:rPr>
          <w:rFonts w:asciiTheme="minorHAnsi" w:hAnsiTheme="minorHAnsi"/>
          <w:szCs w:val="22"/>
        </w:rPr>
      </w:pPr>
    </w:p>
    <w:p w:rsidR="009C1A42" w:rsidRPr="00A74928" w:rsidRDefault="009C1A42" w:rsidP="007506B0">
      <w:pPr>
        <w:rPr>
          <w:rFonts w:asciiTheme="minorHAnsi" w:hAnsiTheme="minorHAnsi"/>
          <w:szCs w:val="22"/>
        </w:rPr>
      </w:pPr>
    </w:p>
    <w:p w:rsidR="007506B0" w:rsidRPr="00A74928" w:rsidRDefault="007506B0" w:rsidP="007506B0">
      <w:pPr>
        <w:rPr>
          <w:rFonts w:asciiTheme="minorHAnsi" w:hAnsiTheme="minorHAnsi"/>
          <w:szCs w:val="22"/>
        </w:rPr>
      </w:pPr>
      <w:r w:rsidRPr="00A74928">
        <w:rPr>
          <w:rFonts w:asciiTheme="minorHAnsi" w:hAnsiTheme="minorHAnsi"/>
          <w:szCs w:val="22"/>
        </w:rPr>
        <w:t>Il vise</w:t>
      </w:r>
      <w:r w:rsidR="006126A3" w:rsidRPr="00A74928">
        <w:rPr>
          <w:rFonts w:asciiTheme="minorHAnsi" w:hAnsiTheme="minorHAnsi"/>
          <w:szCs w:val="22"/>
        </w:rPr>
        <w:t xml:space="preserve"> </w:t>
      </w:r>
      <w:r w:rsidRPr="00A74928">
        <w:rPr>
          <w:rFonts w:asciiTheme="minorHAnsi" w:hAnsiTheme="minorHAnsi"/>
          <w:szCs w:val="22"/>
        </w:rPr>
        <w:t xml:space="preserve">à </w:t>
      </w:r>
      <w:r w:rsidR="00DD1C8B" w:rsidRPr="00A74928">
        <w:rPr>
          <w:rFonts w:asciiTheme="minorHAnsi" w:hAnsiTheme="minorHAnsi"/>
          <w:szCs w:val="22"/>
        </w:rPr>
        <w:t>alimenter</w:t>
      </w:r>
      <w:r w:rsidRPr="00A74928">
        <w:rPr>
          <w:rFonts w:asciiTheme="minorHAnsi" w:hAnsiTheme="minorHAnsi"/>
          <w:szCs w:val="22"/>
        </w:rPr>
        <w:t xml:space="preserve"> le compte de </w:t>
      </w:r>
      <w:r w:rsidR="006126A3" w:rsidRPr="00A74928">
        <w:rPr>
          <w:rFonts w:asciiTheme="minorHAnsi" w:hAnsiTheme="minorHAnsi"/>
          <w:szCs w:val="22"/>
        </w:rPr>
        <w:t>transactions</w:t>
      </w:r>
      <w:r w:rsidR="002C3158" w:rsidRPr="00A74928">
        <w:rPr>
          <w:rFonts w:asciiTheme="minorHAnsi" w:hAnsiTheme="minorHAnsi"/>
          <w:szCs w:val="22"/>
        </w:rPr>
        <w:t xml:space="preserve"> courantes</w:t>
      </w:r>
      <w:r w:rsidR="00B21AB5" w:rsidRPr="00A74928">
        <w:rPr>
          <w:rFonts w:asciiTheme="minorHAnsi" w:hAnsiTheme="minorHAnsi"/>
          <w:szCs w:val="22"/>
        </w:rPr>
        <w:t>, le compte de c</w:t>
      </w:r>
      <w:r w:rsidR="00820C29" w:rsidRPr="00A74928">
        <w:rPr>
          <w:rFonts w:asciiTheme="minorHAnsi" w:hAnsiTheme="minorHAnsi"/>
          <w:szCs w:val="22"/>
        </w:rPr>
        <w:t>apital</w:t>
      </w:r>
      <w:r w:rsidR="002C3158" w:rsidRPr="00A74928">
        <w:rPr>
          <w:rFonts w:asciiTheme="minorHAnsi" w:hAnsiTheme="minorHAnsi"/>
          <w:szCs w:val="22"/>
        </w:rPr>
        <w:t xml:space="preserve"> </w:t>
      </w:r>
      <w:r w:rsidR="006126A3" w:rsidRPr="00A74928">
        <w:rPr>
          <w:rFonts w:asciiTheme="minorHAnsi" w:hAnsiTheme="minorHAnsi"/>
          <w:szCs w:val="22"/>
        </w:rPr>
        <w:t>et la ligne des</w:t>
      </w:r>
      <w:r w:rsidRPr="00A74928">
        <w:rPr>
          <w:rFonts w:asciiTheme="minorHAnsi" w:hAnsiTheme="minorHAnsi"/>
          <w:szCs w:val="22"/>
        </w:rPr>
        <w:t xml:space="preserve"> « </w:t>
      </w:r>
      <w:r w:rsidR="006126A3" w:rsidRPr="00A74928">
        <w:rPr>
          <w:rFonts w:asciiTheme="minorHAnsi" w:hAnsiTheme="minorHAnsi"/>
          <w:szCs w:val="22"/>
        </w:rPr>
        <w:t>opérations</w:t>
      </w:r>
      <w:r w:rsidRPr="00A74928">
        <w:rPr>
          <w:rFonts w:asciiTheme="minorHAnsi" w:hAnsiTheme="minorHAnsi"/>
          <w:szCs w:val="22"/>
        </w:rPr>
        <w:t xml:space="preserve"> en </w:t>
      </w:r>
      <w:r w:rsidR="006126A3" w:rsidRPr="00A74928">
        <w:rPr>
          <w:rFonts w:asciiTheme="minorHAnsi" w:hAnsiTheme="minorHAnsi"/>
          <w:szCs w:val="22"/>
        </w:rPr>
        <w:t>capital</w:t>
      </w:r>
      <w:r w:rsidRPr="00A74928">
        <w:rPr>
          <w:rFonts w:asciiTheme="minorHAnsi" w:hAnsiTheme="minorHAnsi"/>
          <w:szCs w:val="22"/>
        </w:rPr>
        <w:t xml:space="preserve"> social » </w:t>
      </w:r>
      <w:r w:rsidR="009A0C54" w:rsidRPr="00A74928">
        <w:rPr>
          <w:rFonts w:asciiTheme="minorHAnsi" w:hAnsiTheme="minorHAnsi"/>
          <w:szCs w:val="22"/>
        </w:rPr>
        <w:t>d</w:t>
      </w:r>
      <w:r w:rsidR="00931D38" w:rsidRPr="00A74928">
        <w:rPr>
          <w:rFonts w:asciiTheme="minorHAnsi" w:hAnsiTheme="minorHAnsi"/>
          <w:szCs w:val="22"/>
        </w:rPr>
        <w:t>u poste</w:t>
      </w:r>
      <w:r w:rsidR="009A0C54" w:rsidRPr="00A74928">
        <w:rPr>
          <w:rFonts w:asciiTheme="minorHAnsi" w:hAnsiTheme="minorHAnsi"/>
          <w:szCs w:val="22"/>
        </w:rPr>
        <w:t xml:space="preserve"> </w:t>
      </w:r>
      <w:r w:rsidR="00897F9C" w:rsidRPr="00A74928">
        <w:rPr>
          <w:rFonts w:asciiTheme="minorHAnsi" w:hAnsiTheme="minorHAnsi"/>
          <w:szCs w:val="22"/>
        </w:rPr>
        <w:t>des</w:t>
      </w:r>
      <w:r w:rsidRPr="00A74928">
        <w:rPr>
          <w:rFonts w:asciiTheme="minorHAnsi" w:hAnsiTheme="minorHAnsi"/>
          <w:szCs w:val="22"/>
        </w:rPr>
        <w:t xml:space="preserve"> </w:t>
      </w:r>
      <w:r w:rsidR="006126A3" w:rsidRPr="00A74928">
        <w:rPr>
          <w:rFonts w:asciiTheme="minorHAnsi" w:hAnsiTheme="minorHAnsi"/>
          <w:szCs w:val="22"/>
        </w:rPr>
        <w:t>investissements</w:t>
      </w:r>
      <w:r w:rsidRPr="00A74928">
        <w:rPr>
          <w:rFonts w:asciiTheme="minorHAnsi" w:hAnsiTheme="minorHAnsi"/>
          <w:szCs w:val="22"/>
        </w:rPr>
        <w:t xml:space="preserve"> </w:t>
      </w:r>
      <w:r w:rsidR="006126A3" w:rsidRPr="00A74928">
        <w:rPr>
          <w:rFonts w:asciiTheme="minorHAnsi" w:hAnsiTheme="minorHAnsi"/>
          <w:szCs w:val="22"/>
        </w:rPr>
        <w:t>directs</w:t>
      </w:r>
      <w:r w:rsidR="002C3158" w:rsidRPr="00A74928">
        <w:rPr>
          <w:rFonts w:asciiTheme="minorHAnsi" w:hAnsiTheme="minorHAnsi"/>
          <w:szCs w:val="22"/>
        </w:rPr>
        <w:t xml:space="preserve">, </w:t>
      </w:r>
      <w:r w:rsidR="00897F9C" w:rsidRPr="00A74928">
        <w:rPr>
          <w:rFonts w:asciiTheme="minorHAnsi" w:hAnsiTheme="minorHAnsi"/>
          <w:szCs w:val="22"/>
        </w:rPr>
        <w:t xml:space="preserve">dont la somme </w:t>
      </w:r>
      <w:r w:rsidR="002C3158" w:rsidRPr="00A74928">
        <w:rPr>
          <w:rFonts w:asciiTheme="minorHAnsi" w:hAnsiTheme="minorHAnsi"/>
          <w:szCs w:val="22"/>
        </w:rPr>
        <w:t>constitue la « balance de base »</w:t>
      </w:r>
      <w:r w:rsidR="00120BB0" w:rsidRPr="00A74928">
        <w:rPr>
          <w:rFonts w:asciiTheme="minorHAnsi" w:hAnsiTheme="minorHAnsi"/>
          <w:szCs w:val="22"/>
        </w:rPr>
        <w:t xml:space="preserve"> de la balance des paiements</w:t>
      </w:r>
      <w:r w:rsidR="002D5C5C" w:rsidRPr="00A74928">
        <w:rPr>
          <w:rFonts w:asciiTheme="minorHAnsi" w:hAnsiTheme="minorHAnsi"/>
          <w:szCs w:val="22"/>
        </w:rPr>
        <w:t>.</w:t>
      </w:r>
      <w:r w:rsidR="002E018D" w:rsidRPr="00A74928">
        <w:rPr>
          <w:rFonts w:asciiTheme="minorHAnsi" w:hAnsiTheme="minorHAnsi"/>
          <w:szCs w:val="22"/>
        </w:rPr>
        <w:t xml:space="preserve"> </w:t>
      </w:r>
      <w:r w:rsidRPr="00A74928">
        <w:rPr>
          <w:rFonts w:asciiTheme="minorHAnsi" w:hAnsiTheme="minorHAnsi"/>
          <w:szCs w:val="22"/>
        </w:rPr>
        <w:t>Le com</w:t>
      </w:r>
      <w:r w:rsidR="006126A3" w:rsidRPr="00A74928">
        <w:rPr>
          <w:rFonts w:asciiTheme="minorHAnsi" w:hAnsiTheme="minorHAnsi"/>
          <w:szCs w:val="22"/>
        </w:rPr>
        <w:t>p</w:t>
      </w:r>
      <w:r w:rsidRPr="00A74928">
        <w:rPr>
          <w:rFonts w:asciiTheme="minorHAnsi" w:hAnsiTheme="minorHAnsi"/>
          <w:szCs w:val="22"/>
        </w:rPr>
        <w:t>te de tra</w:t>
      </w:r>
      <w:r w:rsidR="006126A3" w:rsidRPr="00A74928">
        <w:rPr>
          <w:rFonts w:asciiTheme="minorHAnsi" w:hAnsiTheme="minorHAnsi"/>
          <w:szCs w:val="22"/>
        </w:rPr>
        <w:t>nsactions</w:t>
      </w:r>
      <w:r w:rsidRPr="00A74928">
        <w:rPr>
          <w:rFonts w:asciiTheme="minorHAnsi" w:hAnsiTheme="minorHAnsi"/>
          <w:szCs w:val="22"/>
        </w:rPr>
        <w:t xml:space="preserve"> co</w:t>
      </w:r>
      <w:r w:rsidR="006126A3" w:rsidRPr="00A74928">
        <w:rPr>
          <w:rFonts w:asciiTheme="minorHAnsi" w:hAnsiTheme="minorHAnsi"/>
          <w:szCs w:val="22"/>
        </w:rPr>
        <w:t xml:space="preserve">urantes </w:t>
      </w:r>
      <w:r w:rsidRPr="00A74928">
        <w:rPr>
          <w:rFonts w:asciiTheme="minorHAnsi" w:hAnsiTheme="minorHAnsi"/>
          <w:szCs w:val="22"/>
        </w:rPr>
        <w:t>(qu</w:t>
      </w:r>
      <w:r w:rsidR="006126A3" w:rsidRPr="00A74928">
        <w:rPr>
          <w:rFonts w:asciiTheme="minorHAnsi" w:hAnsiTheme="minorHAnsi"/>
          <w:szCs w:val="22"/>
        </w:rPr>
        <w:t>i</w:t>
      </w:r>
      <w:r w:rsidRPr="00A74928">
        <w:rPr>
          <w:rFonts w:asciiTheme="minorHAnsi" w:hAnsiTheme="minorHAnsi"/>
          <w:szCs w:val="22"/>
        </w:rPr>
        <w:t xml:space="preserve"> agrège </w:t>
      </w:r>
      <w:r w:rsidR="006126A3" w:rsidRPr="00A74928">
        <w:rPr>
          <w:rFonts w:asciiTheme="minorHAnsi" w:hAnsiTheme="minorHAnsi"/>
          <w:szCs w:val="22"/>
        </w:rPr>
        <w:t>les exportations et les importations de marchandise</w:t>
      </w:r>
      <w:r w:rsidR="00FB6F33" w:rsidRPr="00A74928">
        <w:rPr>
          <w:rFonts w:asciiTheme="minorHAnsi" w:hAnsiTheme="minorHAnsi"/>
          <w:szCs w:val="22"/>
        </w:rPr>
        <w:t>s</w:t>
      </w:r>
      <w:r w:rsidR="006126A3" w:rsidRPr="00A74928">
        <w:rPr>
          <w:rFonts w:asciiTheme="minorHAnsi" w:hAnsiTheme="minorHAnsi"/>
          <w:szCs w:val="22"/>
        </w:rPr>
        <w:t xml:space="preserve"> avec les échanges de</w:t>
      </w:r>
      <w:r w:rsidRPr="00A74928">
        <w:rPr>
          <w:rFonts w:asciiTheme="minorHAnsi" w:hAnsiTheme="minorHAnsi"/>
          <w:szCs w:val="22"/>
        </w:rPr>
        <w:t xml:space="preserve"> </w:t>
      </w:r>
      <w:r w:rsidR="006126A3" w:rsidRPr="00A74928">
        <w:rPr>
          <w:rFonts w:asciiTheme="minorHAnsi" w:hAnsiTheme="minorHAnsi"/>
          <w:szCs w:val="22"/>
        </w:rPr>
        <w:t>services</w:t>
      </w:r>
      <w:r w:rsidRPr="00A74928">
        <w:rPr>
          <w:rFonts w:asciiTheme="minorHAnsi" w:hAnsiTheme="minorHAnsi"/>
          <w:szCs w:val="22"/>
        </w:rPr>
        <w:t xml:space="preserve">, </w:t>
      </w:r>
      <w:r w:rsidR="00B21AB5" w:rsidRPr="00A74928">
        <w:rPr>
          <w:rFonts w:asciiTheme="minorHAnsi" w:hAnsiTheme="minorHAnsi"/>
          <w:szCs w:val="22"/>
        </w:rPr>
        <w:t xml:space="preserve">les voyages, </w:t>
      </w:r>
      <w:r w:rsidR="006126A3" w:rsidRPr="00A74928">
        <w:rPr>
          <w:rFonts w:asciiTheme="minorHAnsi" w:hAnsiTheme="minorHAnsi"/>
          <w:szCs w:val="22"/>
        </w:rPr>
        <w:t>les revenus</w:t>
      </w:r>
      <w:r w:rsidRPr="00A74928">
        <w:rPr>
          <w:rFonts w:asciiTheme="minorHAnsi" w:hAnsiTheme="minorHAnsi"/>
          <w:szCs w:val="22"/>
        </w:rPr>
        <w:t xml:space="preserve"> </w:t>
      </w:r>
      <w:r w:rsidR="007E13E0" w:rsidRPr="00A74928">
        <w:rPr>
          <w:rFonts w:asciiTheme="minorHAnsi" w:hAnsiTheme="minorHAnsi"/>
          <w:szCs w:val="22"/>
        </w:rPr>
        <w:t>primaires et secondaires</w:t>
      </w:r>
      <w:r w:rsidRPr="00A74928">
        <w:rPr>
          <w:rFonts w:asciiTheme="minorHAnsi" w:hAnsiTheme="minorHAnsi"/>
          <w:szCs w:val="22"/>
        </w:rPr>
        <w:t xml:space="preserve">) </w:t>
      </w:r>
      <w:r w:rsidR="004D2557" w:rsidRPr="00A74928">
        <w:rPr>
          <w:rFonts w:asciiTheme="minorHAnsi" w:hAnsiTheme="minorHAnsi"/>
          <w:szCs w:val="22"/>
        </w:rPr>
        <w:t xml:space="preserve">exprime </w:t>
      </w:r>
      <w:r w:rsidRPr="00A74928">
        <w:rPr>
          <w:rFonts w:asciiTheme="minorHAnsi" w:hAnsiTheme="minorHAnsi"/>
          <w:szCs w:val="22"/>
        </w:rPr>
        <w:t xml:space="preserve">le solde des </w:t>
      </w:r>
      <w:r w:rsidR="006126A3" w:rsidRPr="00A74928">
        <w:rPr>
          <w:rFonts w:asciiTheme="minorHAnsi" w:hAnsiTheme="minorHAnsi"/>
          <w:szCs w:val="22"/>
        </w:rPr>
        <w:t>opérations</w:t>
      </w:r>
      <w:r w:rsidR="005B7538" w:rsidRPr="00A74928">
        <w:rPr>
          <w:rFonts w:asciiTheme="minorHAnsi" w:hAnsiTheme="minorHAnsi"/>
          <w:szCs w:val="22"/>
        </w:rPr>
        <w:t xml:space="preserve"> économiques </w:t>
      </w:r>
      <w:r w:rsidR="009A0C54" w:rsidRPr="00A74928">
        <w:rPr>
          <w:rFonts w:asciiTheme="minorHAnsi" w:hAnsiTheme="minorHAnsi"/>
          <w:szCs w:val="22"/>
        </w:rPr>
        <w:t>«</w:t>
      </w:r>
      <w:r w:rsidR="00820C29" w:rsidRPr="00A74928">
        <w:rPr>
          <w:rFonts w:asciiTheme="minorHAnsi" w:hAnsiTheme="minorHAnsi"/>
          <w:szCs w:val="22"/>
        </w:rPr>
        <w:t xml:space="preserve"> </w:t>
      </w:r>
      <w:r w:rsidR="009A0C54" w:rsidRPr="00A74928">
        <w:rPr>
          <w:rFonts w:asciiTheme="minorHAnsi" w:hAnsiTheme="minorHAnsi"/>
          <w:szCs w:val="22"/>
        </w:rPr>
        <w:t xml:space="preserve">réelles » </w:t>
      </w:r>
      <w:r w:rsidRPr="00A74928">
        <w:rPr>
          <w:rFonts w:asciiTheme="minorHAnsi" w:hAnsiTheme="minorHAnsi"/>
          <w:szCs w:val="22"/>
        </w:rPr>
        <w:t>avec l’étranger</w:t>
      </w:r>
      <w:r w:rsidR="00A477FB" w:rsidRPr="00A74928">
        <w:rPr>
          <w:rFonts w:asciiTheme="minorHAnsi" w:hAnsiTheme="minorHAnsi"/>
          <w:szCs w:val="22"/>
        </w:rPr>
        <w:t>,</w:t>
      </w:r>
      <w:r w:rsidRPr="00A74928">
        <w:rPr>
          <w:rFonts w:asciiTheme="minorHAnsi" w:hAnsiTheme="minorHAnsi"/>
          <w:szCs w:val="22"/>
        </w:rPr>
        <w:t xml:space="preserve"> q</w:t>
      </w:r>
      <w:r w:rsidR="006126A3" w:rsidRPr="00A74928">
        <w:rPr>
          <w:rFonts w:asciiTheme="minorHAnsi" w:hAnsiTheme="minorHAnsi"/>
          <w:szCs w:val="22"/>
        </w:rPr>
        <w:t>ui représente</w:t>
      </w:r>
      <w:r w:rsidR="004D2557" w:rsidRPr="00A74928">
        <w:rPr>
          <w:rFonts w:asciiTheme="minorHAnsi" w:hAnsiTheme="minorHAnsi"/>
          <w:szCs w:val="22"/>
        </w:rPr>
        <w:t xml:space="preserve"> </w:t>
      </w:r>
      <w:r w:rsidR="00A477FB" w:rsidRPr="00A74928">
        <w:rPr>
          <w:rFonts w:asciiTheme="minorHAnsi" w:hAnsiTheme="minorHAnsi"/>
          <w:szCs w:val="22"/>
        </w:rPr>
        <w:t xml:space="preserve">pour l’essentiel </w:t>
      </w:r>
      <w:r w:rsidRPr="00A74928">
        <w:rPr>
          <w:rFonts w:asciiTheme="minorHAnsi" w:hAnsiTheme="minorHAnsi"/>
          <w:szCs w:val="22"/>
        </w:rPr>
        <w:t xml:space="preserve">la contribution extérieure à l’évolution du </w:t>
      </w:r>
      <w:r w:rsidR="006126A3" w:rsidRPr="00A74928">
        <w:rPr>
          <w:rFonts w:asciiTheme="minorHAnsi" w:hAnsiTheme="minorHAnsi"/>
          <w:szCs w:val="22"/>
        </w:rPr>
        <w:t>Produit</w:t>
      </w:r>
      <w:r w:rsidRPr="00A74928">
        <w:rPr>
          <w:rFonts w:asciiTheme="minorHAnsi" w:hAnsiTheme="minorHAnsi"/>
          <w:szCs w:val="22"/>
        </w:rPr>
        <w:t xml:space="preserve"> </w:t>
      </w:r>
      <w:r w:rsidR="006126A3" w:rsidRPr="00A74928">
        <w:rPr>
          <w:rFonts w:asciiTheme="minorHAnsi" w:hAnsiTheme="minorHAnsi"/>
          <w:szCs w:val="22"/>
        </w:rPr>
        <w:t>Intérieur</w:t>
      </w:r>
      <w:r w:rsidRPr="00A74928">
        <w:rPr>
          <w:rFonts w:asciiTheme="minorHAnsi" w:hAnsiTheme="minorHAnsi"/>
          <w:szCs w:val="22"/>
        </w:rPr>
        <w:t xml:space="preserve"> Brut</w:t>
      </w:r>
      <w:r w:rsidR="009A0C54" w:rsidRPr="00A74928">
        <w:rPr>
          <w:rFonts w:asciiTheme="minorHAnsi" w:hAnsiTheme="minorHAnsi"/>
          <w:szCs w:val="22"/>
        </w:rPr>
        <w:t xml:space="preserve"> et détermine l</w:t>
      </w:r>
      <w:r w:rsidR="002C3158" w:rsidRPr="00A74928">
        <w:rPr>
          <w:rFonts w:asciiTheme="minorHAnsi" w:hAnsiTheme="minorHAnsi"/>
          <w:szCs w:val="22"/>
        </w:rPr>
        <w:t>a capacité</w:t>
      </w:r>
      <w:r w:rsidR="004D2557" w:rsidRPr="00A74928">
        <w:rPr>
          <w:rFonts w:asciiTheme="minorHAnsi" w:hAnsiTheme="minorHAnsi"/>
          <w:szCs w:val="22"/>
        </w:rPr>
        <w:t xml:space="preserve"> ou </w:t>
      </w:r>
      <w:r w:rsidR="009A0C54" w:rsidRPr="00A74928">
        <w:rPr>
          <w:rFonts w:asciiTheme="minorHAnsi" w:hAnsiTheme="minorHAnsi"/>
          <w:szCs w:val="22"/>
        </w:rPr>
        <w:t>le</w:t>
      </w:r>
      <w:r w:rsidR="004D2557" w:rsidRPr="00A74928">
        <w:rPr>
          <w:rFonts w:asciiTheme="minorHAnsi" w:hAnsiTheme="minorHAnsi"/>
          <w:szCs w:val="22"/>
        </w:rPr>
        <w:t xml:space="preserve"> besoin de </w:t>
      </w:r>
      <w:r w:rsidR="002C3158" w:rsidRPr="00A74928">
        <w:rPr>
          <w:rFonts w:asciiTheme="minorHAnsi" w:hAnsiTheme="minorHAnsi"/>
          <w:szCs w:val="22"/>
        </w:rPr>
        <w:t>financement</w:t>
      </w:r>
      <w:r w:rsidR="009A0C54" w:rsidRPr="00A74928">
        <w:rPr>
          <w:rFonts w:asciiTheme="minorHAnsi" w:hAnsiTheme="minorHAnsi"/>
          <w:szCs w:val="22"/>
        </w:rPr>
        <w:t xml:space="preserve"> de la France</w:t>
      </w:r>
      <w:r w:rsidR="005B7538" w:rsidRPr="00A74928">
        <w:rPr>
          <w:rFonts w:asciiTheme="minorHAnsi" w:hAnsiTheme="minorHAnsi"/>
          <w:szCs w:val="22"/>
        </w:rPr>
        <w:t>.</w:t>
      </w:r>
    </w:p>
    <w:p w:rsidR="005B7538" w:rsidRPr="00A74928" w:rsidRDefault="005B7538" w:rsidP="007506B0">
      <w:pPr>
        <w:rPr>
          <w:rFonts w:asciiTheme="minorHAnsi" w:hAnsiTheme="minorHAnsi"/>
          <w:szCs w:val="22"/>
        </w:rPr>
      </w:pPr>
    </w:p>
    <w:p w:rsidR="00F239D7" w:rsidRPr="00A74928" w:rsidRDefault="007506B0" w:rsidP="007506B0">
      <w:pPr>
        <w:rPr>
          <w:rFonts w:asciiTheme="minorHAnsi" w:hAnsiTheme="minorHAnsi"/>
          <w:szCs w:val="22"/>
        </w:rPr>
      </w:pPr>
      <w:r w:rsidRPr="00A74928">
        <w:rPr>
          <w:rFonts w:asciiTheme="minorHAnsi" w:hAnsiTheme="minorHAnsi"/>
          <w:szCs w:val="22"/>
        </w:rPr>
        <w:t xml:space="preserve">Sa déclaration </w:t>
      </w:r>
      <w:r w:rsidR="00BA5476" w:rsidRPr="00A74928">
        <w:rPr>
          <w:rFonts w:asciiTheme="minorHAnsi" w:hAnsiTheme="minorHAnsi"/>
          <w:szCs w:val="22"/>
        </w:rPr>
        <w:t>doit</w:t>
      </w:r>
      <w:r w:rsidRPr="00A74928">
        <w:rPr>
          <w:rFonts w:asciiTheme="minorHAnsi" w:hAnsiTheme="minorHAnsi"/>
          <w:szCs w:val="22"/>
        </w:rPr>
        <w:t xml:space="preserve"> </w:t>
      </w:r>
      <w:r w:rsidR="00BA5476" w:rsidRPr="00A74928">
        <w:rPr>
          <w:rFonts w:asciiTheme="minorHAnsi" w:hAnsiTheme="minorHAnsi"/>
          <w:szCs w:val="22"/>
        </w:rPr>
        <w:t>intervenir</w:t>
      </w:r>
      <w:r w:rsidRPr="00A74928">
        <w:rPr>
          <w:rFonts w:asciiTheme="minorHAnsi" w:hAnsiTheme="minorHAnsi"/>
          <w:szCs w:val="22"/>
        </w:rPr>
        <w:t xml:space="preserve"> à travers le </w:t>
      </w:r>
      <w:r w:rsidR="00BA5476" w:rsidRPr="00A74928">
        <w:rPr>
          <w:rFonts w:asciiTheme="minorHAnsi" w:hAnsiTheme="minorHAnsi"/>
          <w:szCs w:val="22"/>
        </w:rPr>
        <w:t>guichet</w:t>
      </w:r>
      <w:r w:rsidRPr="00A74928">
        <w:rPr>
          <w:rFonts w:asciiTheme="minorHAnsi" w:hAnsiTheme="minorHAnsi"/>
          <w:szCs w:val="22"/>
        </w:rPr>
        <w:t xml:space="preserve"> </w:t>
      </w:r>
      <w:r w:rsidR="00BA5476" w:rsidRPr="00A74928">
        <w:rPr>
          <w:rFonts w:asciiTheme="minorHAnsi" w:hAnsiTheme="minorHAnsi"/>
          <w:szCs w:val="22"/>
        </w:rPr>
        <w:t>s</w:t>
      </w:r>
      <w:r w:rsidRPr="00A74928">
        <w:rPr>
          <w:rFonts w:asciiTheme="minorHAnsi" w:hAnsiTheme="minorHAnsi"/>
          <w:szCs w:val="22"/>
        </w:rPr>
        <w:t>écurisé One</w:t>
      </w:r>
      <w:r w:rsidR="00BA5476" w:rsidRPr="00A74928">
        <w:rPr>
          <w:rFonts w:asciiTheme="minorHAnsi" w:hAnsiTheme="minorHAnsi"/>
          <w:szCs w:val="22"/>
        </w:rPr>
        <w:t>G</w:t>
      </w:r>
      <w:r w:rsidRPr="00A74928">
        <w:rPr>
          <w:rFonts w:asciiTheme="minorHAnsi" w:hAnsiTheme="minorHAnsi"/>
          <w:szCs w:val="22"/>
        </w:rPr>
        <w:t xml:space="preserve">ate selon les </w:t>
      </w:r>
      <w:r w:rsidR="00BA5476" w:rsidRPr="00A74928">
        <w:rPr>
          <w:rFonts w:asciiTheme="minorHAnsi" w:hAnsiTheme="minorHAnsi"/>
          <w:szCs w:val="22"/>
        </w:rPr>
        <w:t>formats</w:t>
      </w:r>
      <w:r w:rsidRPr="00A74928">
        <w:rPr>
          <w:rFonts w:asciiTheme="minorHAnsi" w:hAnsiTheme="minorHAnsi"/>
          <w:szCs w:val="22"/>
        </w:rPr>
        <w:t xml:space="preserve"> prévus pour l’entrée </w:t>
      </w:r>
      <w:r w:rsidR="00BA5476" w:rsidRPr="00A74928">
        <w:rPr>
          <w:rFonts w:asciiTheme="minorHAnsi" w:hAnsiTheme="minorHAnsi"/>
          <w:szCs w:val="22"/>
        </w:rPr>
        <w:t xml:space="preserve">des informations </w:t>
      </w:r>
      <w:r w:rsidRPr="00A74928">
        <w:rPr>
          <w:rFonts w:asciiTheme="minorHAnsi" w:hAnsiTheme="minorHAnsi"/>
          <w:szCs w:val="22"/>
        </w:rPr>
        <w:t xml:space="preserve">dans ce </w:t>
      </w:r>
      <w:r w:rsidR="00BA5476" w:rsidRPr="00A74928">
        <w:rPr>
          <w:rFonts w:asciiTheme="minorHAnsi" w:hAnsiTheme="minorHAnsi"/>
          <w:szCs w:val="22"/>
        </w:rPr>
        <w:t>portail</w:t>
      </w:r>
      <w:r w:rsidRPr="00A74928">
        <w:rPr>
          <w:rFonts w:asciiTheme="minorHAnsi" w:hAnsiTheme="minorHAnsi"/>
          <w:szCs w:val="22"/>
        </w:rPr>
        <w:t xml:space="preserve"> et spécifiés dans son cahier d</w:t>
      </w:r>
      <w:r w:rsidR="00BA5476" w:rsidRPr="00A74928">
        <w:rPr>
          <w:rFonts w:asciiTheme="minorHAnsi" w:hAnsiTheme="minorHAnsi"/>
          <w:szCs w:val="22"/>
        </w:rPr>
        <w:t>es</w:t>
      </w:r>
      <w:r w:rsidRPr="00A74928">
        <w:rPr>
          <w:rFonts w:asciiTheme="minorHAnsi" w:hAnsiTheme="minorHAnsi"/>
          <w:szCs w:val="22"/>
        </w:rPr>
        <w:t xml:space="preserve"> </w:t>
      </w:r>
      <w:r w:rsidR="00BA5476" w:rsidRPr="00A74928">
        <w:rPr>
          <w:rFonts w:asciiTheme="minorHAnsi" w:hAnsiTheme="minorHAnsi"/>
          <w:szCs w:val="22"/>
        </w:rPr>
        <w:t>charges</w:t>
      </w:r>
      <w:r w:rsidRPr="00A74928">
        <w:rPr>
          <w:rFonts w:asciiTheme="minorHAnsi" w:hAnsiTheme="minorHAnsi"/>
          <w:szCs w:val="22"/>
        </w:rPr>
        <w:t xml:space="preserve"> </w:t>
      </w:r>
      <w:r w:rsidR="000A7FDA" w:rsidRPr="00A74928">
        <w:rPr>
          <w:rFonts w:asciiTheme="minorHAnsi" w:hAnsiTheme="minorHAnsi"/>
          <w:szCs w:val="22"/>
        </w:rPr>
        <w:t>informatique</w:t>
      </w:r>
      <w:r w:rsidR="00994CA5" w:rsidRPr="00A74928">
        <w:rPr>
          <w:rFonts w:asciiTheme="minorHAnsi" w:hAnsiTheme="minorHAnsi"/>
          <w:szCs w:val="22"/>
        </w:rPr>
        <w:t xml:space="preserve"> (cf. </w:t>
      </w:r>
      <w:r w:rsidR="000A7FDA" w:rsidRPr="00A74928">
        <w:rPr>
          <w:rFonts w:asciiTheme="minorHAnsi" w:hAnsiTheme="minorHAnsi"/>
          <w:szCs w:val="22"/>
        </w:rPr>
        <w:t>paragraphe 6)</w:t>
      </w:r>
      <w:r w:rsidRPr="00A74928">
        <w:rPr>
          <w:rFonts w:asciiTheme="minorHAnsi" w:hAnsiTheme="minorHAnsi"/>
          <w:szCs w:val="22"/>
        </w:rPr>
        <w:t>.</w:t>
      </w:r>
      <w:r w:rsidR="00F83F31" w:rsidRPr="00A74928">
        <w:rPr>
          <w:rFonts w:asciiTheme="minorHAnsi" w:hAnsiTheme="minorHAnsi"/>
          <w:szCs w:val="22"/>
        </w:rPr>
        <w:t xml:space="preserve"> </w:t>
      </w:r>
    </w:p>
    <w:p w:rsidR="00353AF3" w:rsidRPr="00A74928" w:rsidRDefault="00353AF3" w:rsidP="007506B0">
      <w:pPr>
        <w:rPr>
          <w:rFonts w:asciiTheme="minorHAnsi" w:hAnsiTheme="minorHAnsi"/>
          <w:szCs w:val="22"/>
        </w:rPr>
      </w:pPr>
    </w:p>
    <w:p w:rsidR="00353AF3" w:rsidRPr="00A74928" w:rsidRDefault="00353AF3" w:rsidP="00353AF3">
      <w:pPr>
        <w:rPr>
          <w:rFonts w:asciiTheme="minorHAnsi" w:hAnsiTheme="minorHAnsi"/>
          <w:szCs w:val="22"/>
        </w:rPr>
      </w:pPr>
      <w:r w:rsidRPr="00A74928">
        <w:rPr>
          <w:rFonts w:asciiTheme="minorHAnsi" w:hAnsiTheme="minorHAnsi"/>
          <w:szCs w:val="22"/>
        </w:rPr>
        <w:t xml:space="preserve">Pour assurer </w:t>
      </w:r>
      <w:r w:rsidR="000A0114" w:rsidRPr="00A74928">
        <w:rPr>
          <w:rFonts w:asciiTheme="minorHAnsi" w:hAnsiTheme="minorHAnsi"/>
          <w:szCs w:val="22"/>
        </w:rPr>
        <w:t>un</w:t>
      </w:r>
      <w:r w:rsidR="00F76C95" w:rsidRPr="00A74928">
        <w:rPr>
          <w:rFonts w:asciiTheme="minorHAnsi" w:hAnsiTheme="minorHAnsi"/>
          <w:szCs w:val="22"/>
        </w:rPr>
        <w:t xml:space="preserve"> </w:t>
      </w:r>
      <w:r w:rsidRPr="00A74928">
        <w:rPr>
          <w:rFonts w:asciiTheme="minorHAnsi" w:hAnsiTheme="minorHAnsi"/>
          <w:szCs w:val="22"/>
        </w:rPr>
        <w:t xml:space="preserve">enregistrement précis en balance des paiements, le RTE doit être accompagné pour les investissements directs </w:t>
      </w:r>
      <w:r w:rsidR="00820C29" w:rsidRPr="00A74928">
        <w:rPr>
          <w:rFonts w:asciiTheme="minorHAnsi" w:hAnsiTheme="minorHAnsi"/>
          <w:szCs w:val="22"/>
        </w:rPr>
        <w:t xml:space="preserve">supérieurs à 15 millions d’euros </w:t>
      </w:r>
      <w:r w:rsidRPr="00A74928">
        <w:rPr>
          <w:rFonts w:asciiTheme="minorHAnsi" w:hAnsiTheme="minorHAnsi"/>
          <w:szCs w:val="22"/>
        </w:rPr>
        <w:t>par une déclaration complémentaire portant sur la qualité de l’investisseur étranger ou de la société étrangère investie (</w:t>
      </w:r>
      <w:r w:rsidR="009E29DA" w:rsidRPr="00A74928">
        <w:rPr>
          <w:rFonts w:asciiTheme="minorHAnsi" w:hAnsiTheme="minorHAnsi"/>
          <w:szCs w:val="22"/>
        </w:rPr>
        <w:t>cf. </w:t>
      </w:r>
      <w:r w:rsidR="00120BB0" w:rsidRPr="00A74928">
        <w:rPr>
          <w:rFonts w:asciiTheme="minorHAnsi" w:hAnsiTheme="minorHAnsi"/>
          <w:szCs w:val="22"/>
        </w:rPr>
        <w:t>C</w:t>
      </w:r>
      <w:r w:rsidRPr="00A74928">
        <w:rPr>
          <w:rFonts w:asciiTheme="minorHAnsi" w:hAnsiTheme="minorHAnsi"/>
          <w:szCs w:val="22"/>
        </w:rPr>
        <w:t>ompte</w:t>
      </w:r>
      <w:r w:rsidR="005046CA" w:rsidRPr="00A74928">
        <w:rPr>
          <w:rFonts w:asciiTheme="minorHAnsi" w:hAnsiTheme="minorHAnsi"/>
          <w:szCs w:val="22"/>
        </w:rPr>
        <w:t>s</w:t>
      </w:r>
      <w:r w:rsidRPr="00A74928">
        <w:rPr>
          <w:rFonts w:asciiTheme="minorHAnsi" w:hAnsiTheme="minorHAnsi"/>
          <w:szCs w:val="22"/>
        </w:rPr>
        <w:t xml:space="preserve"> Rendu</w:t>
      </w:r>
      <w:r w:rsidR="005046CA" w:rsidRPr="00A74928">
        <w:rPr>
          <w:rFonts w:asciiTheme="minorHAnsi" w:hAnsiTheme="minorHAnsi"/>
          <w:szCs w:val="22"/>
        </w:rPr>
        <w:t>s</w:t>
      </w:r>
      <w:r w:rsidRPr="00A74928">
        <w:rPr>
          <w:rFonts w:asciiTheme="minorHAnsi" w:hAnsiTheme="minorHAnsi"/>
          <w:szCs w:val="22"/>
        </w:rPr>
        <w:t xml:space="preserve"> d’Investissement Direct </w:t>
      </w:r>
      <w:r w:rsidR="005046CA" w:rsidRPr="00A74928">
        <w:rPr>
          <w:rFonts w:asciiTheme="minorHAnsi" w:hAnsiTheme="minorHAnsi"/>
          <w:szCs w:val="22"/>
        </w:rPr>
        <w:t>et</w:t>
      </w:r>
      <w:r w:rsidRPr="00A74928">
        <w:rPr>
          <w:rFonts w:asciiTheme="minorHAnsi" w:hAnsiTheme="minorHAnsi"/>
          <w:szCs w:val="22"/>
        </w:rPr>
        <w:t xml:space="preserve"> de Désinvestissement Direct</w:t>
      </w:r>
      <w:r w:rsidR="005046CA" w:rsidRPr="00A74928">
        <w:rPr>
          <w:rFonts w:asciiTheme="minorHAnsi" w:hAnsiTheme="minorHAnsi"/>
          <w:szCs w:val="22"/>
        </w:rPr>
        <w:t xml:space="preserve"> présentés au paragraphe 4</w:t>
      </w:r>
      <w:r w:rsidRPr="00A74928">
        <w:rPr>
          <w:rFonts w:asciiTheme="minorHAnsi" w:hAnsiTheme="minorHAnsi"/>
          <w:szCs w:val="22"/>
        </w:rPr>
        <w:t xml:space="preserve">), ou à défaut par tout document descriptif </w:t>
      </w:r>
      <w:r w:rsidR="00F76C95" w:rsidRPr="00A74928">
        <w:rPr>
          <w:rFonts w:asciiTheme="minorHAnsi" w:hAnsiTheme="minorHAnsi"/>
          <w:szCs w:val="22"/>
        </w:rPr>
        <w:t>susceptible de renseigner</w:t>
      </w:r>
      <w:r w:rsidRPr="00A74928">
        <w:rPr>
          <w:rFonts w:asciiTheme="minorHAnsi" w:hAnsiTheme="minorHAnsi"/>
          <w:szCs w:val="22"/>
        </w:rPr>
        <w:t xml:space="preserve"> sur les modalités</w:t>
      </w:r>
      <w:r w:rsidR="00BF11FD" w:rsidRPr="00A74928">
        <w:rPr>
          <w:rFonts w:asciiTheme="minorHAnsi" w:hAnsiTheme="minorHAnsi"/>
          <w:szCs w:val="22"/>
        </w:rPr>
        <w:t xml:space="preserve"> de ces opérations et sur l’</w:t>
      </w:r>
      <w:r w:rsidR="00F76C95" w:rsidRPr="00A74928">
        <w:rPr>
          <w:rFonts w:asciiTheme="minorHAnsi" w:hAnsiTheme="minorHAnsi"/>
          <w:szCs w:val="22"/>
        </w:rPr>
        <w:t xml:space="preserve">identité de </w:t>
      </w:r>
      <w:r w:rsidR="00BF11FD" w:rsidRPr="00A74928">
        <w:rPr>
          <w:rFonts w:asciiTheme="minorHAnsi" w:hAnsiTheme="minorHAnsi"/>
          <w:szCs w:val="22"/>
        </w:rPr>
        <w:t>leurs</w:t>
      </w:r>
      <w:r w:rsidRPr="00A74928">
        <w:rPr>
          <w:rFonts w:asciiTheme="minorHAnsi" w:hAnsiTheme="minorHAnsi"/>
          <w:szCs w:val="22"/>
        </w:rPr>
        <w:t xml:space="preserve"> contreparties.</w:t>
      </w:r>
    </w:p>
    <w:p w:rsidR="00353AF3" w:rsidRPr="00A74928" w:rsidRDefault="00353AF3" w:rsidP="007506B0">
      <w:pPr>
        <w:rPr>
          <w:rFonts w:asciiTheme="minorHAnsi" w:hAnsiTheme="minorHAnsi"/>
          <w:szCs w:val="22"/>
        </w:rPr>
      </w:pPr>
    </w:p>
    <w:p w:rsidR="00353AF3" w:rsidRPr="00A74928" w:rsidRDefault="00353AF3" w:rsidP="007506B0">
      <w:pPr>
        <w:rPr>
          <w:rFonts w:asciiTheme="minorHAnsi" w:hAnsiTheme="minorHAnsi"/>
          <w:szCs w:val="22"/>
        </w:rPr>
      </w:pPr>
      <w:r w:rsidRPr="00A74928">
        <w:rPr>
          <w:rFonts w:asciiTheme="minorHAnsi" w:hAnsiTheme="minorHAnsi"/>
          <w:szCs w:val="22"/>
        </w:rPr>
        <w:t>La nomenclature économique s’appliquant aux flux à déclarer int</w:t>
      </w:r>
      <w:r w:rsidR="00530C99" w:rsidRPr="00A74928">
        <w:rPr>
          <w:rFonts w:asciiTheme="minorHAnsi" w:hAnsiTheme="minorHAnsi"/>
          <w:szCs w:val="22"/>
        </w:rPr>
        <w:t>è</w:t>
      </w:r>
      <w:r w:rsidRPr="00A74928">
        <w:rPr>
          <w:rFonts w:asciiTheme="minorHAnsi" w:hAnsiTheme="minorHAnsi"/>
          <w:szCs w:val="22"/>
        </w:rPr>
        <w:t>gre les rubriques définies par le 6</w:t>
      </w:r>
      <w:r w:rsidRPr="00A74928">
        <w:rPr>
          <w:rFonts w:asciiTheme="minorHAnsi" w:hAnsiTheme="minorHAnsi"/>
          <w:szCs w:val="22"/>
          <w:vertAlign w:val="superscript"/>
        </w:rPr>
        <w:t>e </w:t>
      </w:r>
      <w:r w:rsidR="00C42AE1" w:rsidRPr="00A74928">
        <w:rPr>
          <w:rFonts w:asciiTheme="minorHAnsi" w:hAnsiTheme="minorHAnsi"/>
          <w:szCs w:val="22"/>
          <w:vertAlign w:val="superscript"/>
        </w:rPr>
        <w:t> </w:t>
      </w:r>
      <w:r w:rsidRPr="00A74928">
        <w:rPr>
          <w:rFonts w:asciiTheme="minorHAnsi" w:hAnsiTheme="minorHAnsi"/>
          <w:szCs w:val="22"/>
        </w:rPr>
        <w:t>Manuel de la balance des paiements du Fonds Monétaire International (FMI), selon les recommandations des instances européennes (Banque Centrale Européenne - BCE - et Commission européenne</w:t>
      </w:r>
      <w:r w:rsidR="00F7761F" w:rsidRPr="00A74928">
        <w:rPr>
          <w:rFonts w:asciiTheme="minorHAnsi" w:hAnsiTheme="minorHAnsi"/>
          <w:szCs w:val="22"/>
        </w:rPr>
        <w:t xml:space="preserve"> </w:t>
      </w:r>
      <w:r w:rsidRPr="00A74928">
        <w:rPr>
          <w:rFonts w:asciiTheme="minorHAnsi" w:hAnsiTheme="minorHAnsi"/>
          <w:szCs w:val="22"/>
        </w:rPr>
        <w:t>- EUROSTAT). Elle reprend une ventilation des transactions de service</w:t>
      </w:r>
      <w:r w:rsidR="002A16E1" w:rsidRPr="00A74928">
        <w:rPr>
          <w:rFonts w:asciiTheme="minorHAnsi" w:hAnsiTheme="minorHAnsi"/>
          <w:szCs w:val="22"/>
        </w:rPr>
        <w:t>s</w:t>
      </w:r>
      <w:r w:rsidRPr="00A74928">
        <w:rPr>
          <w:rFonts w:asciiTheme="minorHAnsi" w:hAnsiTheme="minorHAnsi"/>
          <w:szCs w:val="22"/>
        </w:rPr>
        <w:t xml:space="preserve"> conforme aux obligations de production et de publication</w:t>
      </w:r>
      <w:r w:rsidR="00F76C95" w:rsidRPr="00A74928">
        <w:rPr>
          <w:rFonts w:asciiTheme="minorHAnsi" w:hAnsiTheme="minorHAnsi"/>
          <w:szCs w:val="22"/>
        </w:rPr>
        <w:t xml:space="preserve"> de la balance des paiements au plan international</w:t>
      </w:r>
      <w:r w:rsidR="00324F08" w:rsidRPr="00A74928">
        <w:rPr>
          <w:rFonts w:asciiTheme="minorHAnsi" w:hAnsiTheme="minorHAnsi"/>
          <w:szCs w:val="22"/>
        </w:rPr>
        <w:t xml:space="preserve"> (cf. </w:t>
      </w:r>
      <w:r w:rsidR="005046CA" w:rsidRPr="00A74928">
        <w:rPr>
          <w:rFonts w:asciiTheme="minorHAnsi" w:hAnsiTheme="minorHAnsi"/>
          <w:szCs w:val="22"/>
        </w:rPr>
        <w:t>paragraphe</w:t>
      </w:r>
      <w:r w:rsidR="007E13E0" w:rsidRPr="00A74928">
        <w:rPr>
          <w:rFonts w:asciiTheme="minorHAnsi" w:hAnsiTheme="minorHAnsi"/>
          <w:szCs w:val="22"/>
        </w:rPr>
        <w:t> </w:t>
      </w:r>
      <w:r w:rsidR="005046CA" w:rsidRPr="00A74928">
        <w:rPr>
          <w:rFonts w:asciiTheme="minorHAnsi" w:hAnsiTheme="minorHAnsi"/>
          <w:szCs w:val="22"/>
        </w:rPr>
        <w:t>3)</w:t>
      </w:r>
      <w:r w:rsidR="00F76C95" w:rsidRPr="00A74928">
        <w:rPr>
          <w:rFonts w:asciiTheme="minorHAnsi" w:hAnsiTheme="minorHAnsi"/>
          <w:szCs w:val="22"/>
        </w:rPr>
        <w:t>. La déclaration des investissements directs fait l’objet d’une codification adaptée.</w:t>
      </w:r>
    </w:p>
    <w:p w:rsidR="001D2B22" w:rsidRDefault="001D2B22" w:rsidP="007506B0">
      <w:pPr>
        <w:rPr>
          <w:szCs w:val="22"/>
        </w:rPr>
      </w:pPr>
    </w:p>
    <w:p w:rsidR="00397458" w:rsidRDefault="00397458" w:rsidP="007506B0">
      <w:pPr>
        <w:rPr>
          <w:szCs w:val="22"/>
        </w:rPr>
      </w:pPr>
    </w:p>
    <w:p w:rsidR="003D7F39" w:rsidRDefault="003D7F39" w:rsidP="001D2B22">
      <w:pPr>
        <w:ind w:left="360"/>
        <w:jc w:val="center"/>
        <w:rPr>
          <w:szCs w:val="22"/>
        </w:rPr>
      </w:pPr>
    </w:p>
    <w:p w:rsidR="001D2B22" w:rsidRPr="009C1A42" w:rsidRDefault="001D2B22" w:rsidP="001D2B22">
      <w:pPr>
        <w:ind w:left="360"/>
        <w:jc w:val="center"/>
        <w:rPr>
          <w:szCs w:val="22"/>
        </w:rPr>
      </w:pPr>
      <w:r w:rsidRPr="009C1A42">
        <w:rPr>
          <w:szCs w:val="22"/>
        </w:rPr>
        <w:t xml:space="preserve">*   </w:t>
      </w:r>
      <w:r w:rsidR="009C1A42" w:rsidRPr="009C1A42">
        <w:rPr>
          <w:szCs w:val="22"/>
        </w:rPr>
        <w:t xml:space="preserve">       </w:t>
      </w:r>
      <w:r w:rsidRPr="009C1A42">
        <w:rPr>
          <w:szCs w:val="22"/>
        </w:rPr>
        <w:t xml:space="preserve">   </w:t>
      </w:r>
      <w:r w:rsidR="009C1A42">
        <w:rPr>
          <w:szCs w:val="22"/>
        </w:rPr>
        <w:t xml:space="preserve"> </w:t>
      </w:r>
      <w:r w:rsidRPr="009C1A42">
        <w:rPr>
          <w:szCs w:val="22"/>
        </w:rPr>
        <w:t>*</w:t>
      </w:r>
    </w:p>
    <w:p w:rsidR="009C1A42" w:rsidRPr="009C1A42" w:rsidRDefault="009C1A42" w:rsidP="009C1A42">
      <w:pPr>
        <w:ind w:left="360"/>
        <w:jc w:val="center"/>
        <w:rPr>
          <w:szCs w:val="22"/>
        </w:rPr>
      </w:pPr>
      <w:r w:rsidRPr="009C1A42">
        <w:rPr>
          <w:szCs w:val="22"/>
        </w:rPr>
        <w:t>*</w:t>
      </w:r>
    </w:p>
    <w:p w:rsidR="009C1A42" w:rsidRDefault="009C1A42" w:rsidP="001D2B22">
      <w:pPr>
        <w:ind w:left="360"/>
        <w:jc w:val="center"/>
        <w:rPr>
          <w:szCs w:val="22"/>
        </w:rPr>
      </w:pPr>
    </w:p>
    <w:p w:rsidR="001D2B22" w:rsidRPr="00453900" w:rsidRDefault="001D2B22" w:rsidP="001D2B22">
      <w:pPr>
        <w:ind w:left="360"/>
        <w:jc w:val="center"/>
        <w:rPr>
          <w:szCs w:val="22"/>
        </w:rPr>
      </w:pPr>
    </w:p>
    <w:p w:rsidR="00353AF3" w:rsidRDefault="000F14B2" w:rsidP="007506B0">
      <w:pPr>
        <w:rPr>
          <w:szCs w:val="22"/>
        </w:rPr>
      </w:pPr>
      <w:r>
        <w:rPr>
          <w:szCs w:val="22"/>
        </w:rPr>
        <w:br w:type="page"/>
      </w:r>
    </w:p>
    <w:p w:rsidR="007506B0" w:rsidRPr="004619BC" w:rsidRDefault="007506B0" w:rsidP="001D68E8">
      <w:pPr>
        <w:pStyle w:val="Titre1"/>
        <w:numPr>
          <w:ilvl w:val="0"/>
          <w:numId w:val="16"/>
        </w:numPr>
        <w:shd w:val="clear" w:color="auto" w:fill="DBE5F1" w:themeFill="accent1" w:themeFillTint="33"/>
        <w:spacing w:before="240" w:after="120"/>
        <w:ind w:left="0" w:firstLine="0"/>
        <w:rPr>
          <w:caps/>
          <w:sz w:val="28"/>
          <w:szCs w:val="28"/>
        </w:rPr>
      </w:pPr>
      <w:bookmarkStart w:id="0" w:name="_Toc331685319"/>
      <w:r w:rsidRPr="004619BC">
        <w:rPr>
          <w:caps/>
          <w:sz w:val="28"/>
          <w:szCs w:val="28"/>
        </w:rPr>
        <w:lastRenderedPageBreak/>
        <w:t>Principes de recensement</w:t>
      </w:r>
      <w:bookmarkEnd w:id="0"/>
    </w:p>
    <w:p w:rsidR="007506B0" w:rsidRPr="00453900" w:rsidRDefault="007506B0" w:rsidP="0080762D">
      <w:pPr>
        <w:pStyle w:val="Titre1"/>
        <w:numPr>
          <w:ilvl w:val="0"/>
          <w:numId w:val="0"/>
        </w:numPr>
        <w:spacing w:before="360"/>
        <w:rPr>
          <w:sz w:val="22"/>
          <w:szCs w:val="22"/>
        </w:rPr>
      </w:pPr>
      <w:bookmarkStart w:id="1" w:name="_Toc331685320"/>
      <w:r w:rsidRPr="00453900">
        <w:rPr>
          <w:sz w:val="22"/>
          <w:szCs w:val="22"/>
        </w:rPr>
        <w:t>Résidence des contreparties</w:t>
      </w:r>
      <w:bookmarkEnd w:id="1"/>
    </w:p>
    <w:p w:rsidR="007506B0" w:rsidRPr="00A74928" w:rsidRDefault="007506B0" w:rsidP="00C9045F">
      <w:pPr>
        <w:autoSpaceDE w:val="0"/>
        <w:autoSpaceDN w:val="0"/>
        <w:adjustRightInd w:val="0"/>
        <w:spacing w:before="120" w:after="147"/>
        <w:rPr>
          <w:rFonts w:asciiTheme="minorHAnsi" w:hAnsiTheme="minorHAnsi"/>
          <w:color w:val="000000"/>
          <w:szCs w:val="22"/>
        </w:rPr>
      </w:pPr>
      <w:r w:rsidRPr="00A74928">
        <w:rPr>
          <w:rFonts w:asciiTheme="minorHAnsi" w:hAnsiTheme="minorHAnsi"/>
          <w:color w:val="000000"/>
          <w:szCs w:val="22"/>
        </w:rPr>
        <w:t>L</w:t>
      </w:r>
      <w:r w:rsidR="00ED45CD" w:rsidRPr="00A74928">
        <w:rPr>
          <w:rFonts w:asciiTheme="minorHAnsi" w:hAnsiTheme="minorHAnsi"/>
          <w:color w:val="000000"/>
          <w:szCs w:val="22"/>
        </w:rPr>
        <w:t xml:space="preserve">e territoire statistique français </w:t>
      </w:r>
      <w:r w:rsidRPr="00A74928">
        <w:rPr>
          <w:rFonts w:asciiTheme="minorHAnsi" w:hAnsiTheme="minorHAnsi"/>
          <w:bCs/>
          <w:color w:val="000000"/>
          <w:szCs w:val="22"/>
        </w:rPr>
        <w:t xml:space="preserve"> </w:t>
      </w:r>
      <w:r w:rsidRPr="00A74928">
        <w:rPr>
          <w:rFonts w:asciiTheme="minorHAnsi" w:hAnsiTheme="minorHAnsi"/>
          <w:color w:val="000000"/>
          <w:szCs w:val="22"/>
        </w:rPr>
        <w:t>comprend la France métropolitaine, la Guadeloupe, la Guyane, la Martinique, la Réunion, Mayotte et Saint-Pierre-et-Miquelon, Saint-Barthélemy, Saint-Martin ainsi que la principauté de Monaco</w:t>
      </w:r>
      <w:r w:rsidR="00F33A27" w:rsidRPr="00A74928">
        <w:rPr>
          <w:rStyle w:val="Appelnotedebasdep"/>
          <w:rFonts w:asciiTheme="minorHAnsi" w:hAnsiTheme="minorHAnsi"/>
          <w:color w:val="000000"/>
          <w:szCs w:val="22"/>
        </w:rPr>
        <w:footnoteReference w:id="1"/>
      </w:r>
      <w:r w:rsidRPr="00A74928">
        <w:rPr>
          <w:rFonts w:asciiTheme="minorHAnsi" w:hAnsiTheme="minorHAnsi"/>
          <w:color w:val="000000"/>
          <w:szCs w:val="22"/>
        </w:rPr>
        <w:t xml:space="preserve">. La qualité de non-résident est déterminée par l’existence d’une activité économique autonome </w:t>
      </w:r>
      <w:r w:rsidR="00F11298" w:rsidRPr="00A74928">
        <w:rPr>
          <w:rFonts w:asciiTheme="minorHAnsi" w:hAnsiTheme="minorHAnsi"/>
          <w:color w:val="000000"/>
          <w:szCs w:val="22"/>
        </w:rPr>
        <w:t>et durable</w:t>
      </w:r>
      <w:r w:rsidR="00A81F3A" w:rsidRPr="00A74928">
        <w:rPr>
          <w:rStyle w:val="Appelnotedebasdep"/>
          <w:rFonts w:asciiTheme="minorHAnsi" w:hAnsiTheme="minorHAnsi"/>
          <w:color w:val="000000"/>
          <w:szCs w:val="22"/>
        </w:rPr>
        <w:footnoteReference w:id="2"/>
      </w:r>
      <w:r w:rsidR="00F11298" w:rsidRPr="00A74928">
        <w:rPr>
          <w:rFonts w:asciiTheme="minorHAnsi" w:hAnsiTheme="minorHAnsi"/>
          <w:color w:val="000000"/>
          <w:szCs w:val="22"/>
        </w:rPr>
        <w:t xml:space="preserve"> </w:t>
      </w:r>
      <w:r w:rsidRPr="00A74928">
        <w:rPr>
          <w:rFonts w:asciiTheme="minorHAnsi" w:hAnsiTheme="minorHAnsi"/>
          <w:color w:val="000000"/>
          <w:szCs w:val="22"/>
        </w:rPr>
        <w:t xml:space="preserve">exercée à l’étranger quelle qu’en soit la forme juridique. Elle doit être reconnue pour : </w:t>
      </w:r>
    </w:p>
    <w:p w:rsidR="007506B0" w:rsidRPr="00A74928" w:rsidRDefault="007506B0" w:rsidP="005C6587">
      <w:pPr>
        <w:numPr>
          <w:ilvl w:val="0"/>
          <w:numId w:val="7"/>
        </w:numPr>
        <w:autoSpaceDE w:val="0"/>
        <w:autoSpaceDN w:val="0"/>
        <w:adjustRightInd w:val="0"/>
        <w:spacing w:after="147"/>
        <w:rPr>
          <w:rFonts w:asciiTheme="minorHAnsi" w:hAnsiTheme="minorHAnsi"/>
          <w:color w:val="000000"/>
          <w:szCs w:val="22"/>
        </w:rPr>
      </w:pPr>
      <w:r w:rsidRPr="00A74928">
        <w:rPr>
          <w:rFonts w:asciiTheme="minorHAnsi" w:hAnsiTheme="minorHAnsi"/>
          <w:color w:val="000000"/>
          <w:szCs w:val="22"/>
        </w:rPr>
        <w:t xml:space="preserve">les personnes morales françaises ou étrangères pour leurs implantations en dehors du territoire statistique français (filiales ou établissements </w:t>
      </w:r>
      <w:r w:rsidR="005135C2" w:rsidRPr="00A74928">
        <w:rPr>
          <w:rFonts w:asciiTheme="minorHAnsi" w:hAnsiTheme="minorHAnsi"/>
          <w:color w:val="000000"/>
          <w:szCs w:val="22"/>
        </w:rPr>
        <w:t xml:space="preserve">autonomes </w:t>
      </w:r>
      <w:r w:rsidRPr="00A74928">
        <w:rPr>
          <w:rFonts w:asciiTheme="minorHAnsi" w:hAnsiTheme="minorHAnsi"/>
          <w:color w:val="000000"/>
          <w:szCs w:val="22"/>
        </w:rPr>
        <w:t>implantés à l’étranger) ;</w:t>
      </w:r>
    </w:p>
    <w:p w:rsidR="007506B0" w:rsidRPr="00A74928" w:rsidRDefault="007506B0" w:rsidP="005C6587">
      <w:pPr>
        <w:numPr>
          <w:ilvl w:val="0"/>
          <w:numId w:val="7"/>
        </w:numPr>
        <w:autoSpaceDE w:val="0"/>
        <w:autoSpaceDN w:val="0"/>
        <w:adjustRightInd w:val="0"/>
        <w:spacing w:after="147"/>
        <w:rPr>
          <w:rFonts w:asciiTheme="minorHAnsi" w:hAnsiTheme="minorHAnsi"/>
          <w:color w:val="000000"/>
          <w:szCs w:val="22"/>
        </w:rPr>
      </w:pPr>
      <w:r w:rsidRPr="00A74928">
        <w:rPr>
          <w:rFonts w:asciiTheme="minorHAnsi" w:hAnsiTheme="minorHAnsi"/>
          <w:color w:val="000000"/>
          <w:szCs w:val="22"/>
        </w:rPr>
        <w:t>les organismes internationaux</w:t>
      </w:r>
      <w:r w:rsidR="00C9045F" w:rsidRPr="00A74928">
        <w:rPr>
          <w:rFonts w:asciiTheme="minorHAnsi" w:hAnsiTheme="minorHAnsi"/>
          <w:color w:val="000000"/>
          <w:szCs w:val="22"/>
        </w:rPr>
        <w:t xml:space="preserve"> </w:t>
      </w:r>
      <w:r w:rsidRPr="00A74928">
        <w:rPr>
          <w:rFonts w:asciiTheme="minorHAnsi" w:hAnsiTheme="minorHAnsi"/>
          <w:color w:val="000000"/>
          <w:szCs w:val="22"/>
        </w:rPr>
        <w:t xml:space="preserve">(notamment les institutions de l’Union </w:t>
      </w:r>
      <w:r w:rsidR="00BD620A" w:rsidRPr="00A74928">
        <w:rPr>
          <w:rFonts w:asciiTheme="minorHAnsi" w:hAnsiTheme="minorHAnsi"/>
          <w:color w:val="000000"/>
          <w:szCs w:val="22"/>
        </w:rPr>
        <w:t>E</w:t>
      </w:r>
      <w:r w:rsidRPr="00A74928">
        <w:rPr>
          <w:rFonts w:asciiTheme="minorHAnsi" w:hAnsiTheme="minorHAnsi"/>
          <w:color w:val="000000"/>
          <w:szCs w:val="22"/>
        </w:rPr>
        <w:t>uropéenne</w:t>
      </w:r>
      <w:r w:rsidR="00ED45CD" w:rsidRPr="00A74928">
        <w:rPr>
          <w:rFonts w:asciiTheme="minorHAnsi" w:hAnsiTheme="minorHAnsi"/>
          <w:color w:val="000000"/>
          <w:szCs w:val="22"/>
        </w:rPr>
        <w:t>, dont la Banque Centrale Européenne</w:t>
      </w:r>
      <w:r w:rsidRPr="00A74928">
        <w:rPr>
          <w:rFonts w:asciiTheme="minorHAnsi" w:hAnsiTheme="minorHAnsi"/>
          <w:color w:val="000000"/>
          <w:szCs w:val="22"/>
        </w:rPr>
        <w:t>)</w:t>
      </w:r>
      <w:r w:rsidR="00C26E2D" w:rsidRPr="00A74928">
        <w:rPr>
          <w:rFonts w:asciiTheme="minorHAnsi" w:hAnsiTheme="minorHAnsi"/>
        </w:rPr>
        <w:t> </w:t>
      </w:r>
      <w:r w:rsidRPr="00A74928">
        <w:rPr>
          <w:rFonts w:asciiTheme="minorHAnsi" w:hAnsiTheme="minorHAnsi"/>
          <w:color w:val="000000"/>
          <w:szCs w:val="22"/>
        </w:rPr>
        <w:t>;</w:t>
      </w:r>
    </w:p>
    <w:p w:rsidR="007506B0" w:rsidRPr="00A74928" w:rsidRDefault="007506B0" w:rsidP="005C6587">
      <w:pPr>
        <w:numPr>
          <w:ilvl w:val="0"/>
          <w:numId w:val="7"/>
        </w:numPr>
        <w:autoSpaceDE w:val="0"/>
        <w:autoSpaceDN w:val="0"/>
        <w:adjustRightInd w:val="0"/>
        <w:spacing w:after="147"/>
        <w:rPr>
          <w:rFonts w:asciiTheme="minorHAnsi" w:hAnsiTheme="minorHAnsi"/>
          <w:color w:val="000000"/>
          <w:szCs w:val="22"/>
        </w:rPr>
      </w:pPr>
      <w:r w:rsidRPr="00A74928">
        <w:rPr>
          <w:rFonts w:asciiTheme="minorHAnsi" w:hAnsiTheme="minorHAnsi"/>
          <w:color w:val="000000"/>
          <w:szCs w:val="22"/>
        </w:rPr>
        <w:t>les personnes physiques qui ont leur centre d’intérêt à l’étranger (domicile principal), ainsi que le personnel d’ambassades ou d’administrations publiques étrangères, détaché en France.</w:t>
      </w:r>
    </w:p>
    <w:p w:rsidR="000D40AD" w:rsidRPr="00A74928" w:rsidRDefault="000D40AD" w:rsidP="00C9045F">
      <w:pPr>
        <w:spacing w:before="120"/>
        <w:rPr>
          <w:rFonts w:asciiTheme="minorHAnsi" w:hAnsiTheme="minorHAnsi"/>
          <w:color w:val="000000" w:themeColor="text1"/>
          <w:szCs w:val="22"/>
        </w:rPr>
      </w:pPr>
      <w:r w:rsidRPr="00A74928">
        <w:rPr>
          <w:rFonts w:asciiTheme="minorHAnsi" w:hAnsiTheme="minorHAnsi"/>
          <w:color w:val="000000" w:themeColor="text1"/>
          <w:szCs w:val="22"/>
        </w:rPr>
        <w:t xml:space="preserve">En pratique : </w:t>
      </w:r>
    </w:p>
    <w:p w:rsidR="000D40AD" w:rsidRPr="00A74928" w:rsidRDefault="000D40AD" w:rsidP="000D40AD">
      <w:pPr>
        <w:rPr>
          <w:rFonts w:asciiTheme="minorHAnsi" w:hAnsiTheme="minorHAnsi"/>
          <w:color w:val="000000" w:themeColor="text1"/>
          <w:szCs w:val="22"/>
        </w:rPr>
      </w:pPr>
    </w:p>
    <w:p w:rsidR="0092295D" w:rsidRPr="00A74928" w:rsidRDefault="00CF40FE" w:rsidP="001D2B22">
      <w:pPr>
        <w:numPr>
          <w:ilvl w:val="0"/>
          <w:numId w:val="22"/>
        </w:numPr>
        <w:ind w:left="426"/>
        <w:rPr>
          <w:rFonts w:asciiTheme="minorHAnsi" w:hAnsiTheme="minorHAnsi"/>
          <w:szCs w:val="22"/>
        </w:rPr>
      </w:pPr>
      <w:r w:rsidRPr="00A74928">
        <w:rPr>
          <w:rFonts w:asciiTheme="minorHAnsi" w:hAnsiTheme="minorHAnsi"/>
          <w:color w:val="000000" w:themeColor="text1"/>
          <w:szCs w:val="22"/>
        </w:rPr>
        <w:t xml:space="preserve">Les </w:t>
      </w:r>
      <w:r w:rsidR="00762BC9" w:rsidRPr="00A74928">
        <w:rPr>
          <w:rFonts w:asciiTheme="minorHAnsi" w:hAnsiTheme="minorHAnsi"/>
          <w:color w:val="000000" w:themeColor="text1"/>
          <w:szCs w:val="22"/>
        </w:rPr>
        <w:t>DDG</w:t>
      </w:r>
      <w:r w:rsidRPr="00A74928">
        <w:rPr>
          <w:rFonts w:asciiTheme="minorHAnsi" w:hAnsiTheme="minorHAnsi"/>
          <w:color w:val="000000" w:themeColor="text1"/>
          <w:szCs w:val="22"/>
        </w:rPr>
        <w:t xml:space="preserve"> doivent</w:t>
      </w:r>
      <w:r w:rsidR="000D40AD" w:rsidRPr="00A74928">
        <w:rPr>
          <w:rFonts w:asciiTheme="minorHAnsi" w:hAnsiTheme="minorHAnsi"/>
          <w:color w:val="000000" w:themeColor="text1"/>
          <w:szCs w:val="22"/>
        </w:rPr>
        <w:t xml:space="preserve"> déclarer les opérations ré</w:t>
      </w:r>
      <w:r w:rsidR="005135C2" w:rsidRPr="00A74928">
        <w:rPr>
          <w:rFonts w:asciiTheme="minorHAnsi" w:hAnsiTheme="minorHAnsi"/>
          <w:color w:val="000000" w:themeColor="text1"/>
          <w:szCs w:val="22"/>
        </w:rPr>
        <w:t xml:space="preserve">alisées avec toutes </w:t>
      </w:r>
      <w:r w:rsidR="000D40AD" w:rsidRPr="00A74928">
        <w:rPr>
          <w:rFonts w:asciiTheme="minorHAnsi" w:hAnsiTheme="minorHAnsi"/>
          <w:color w:val="000000" w:themeColor="text1"/>
          <w:szCs w:val="22"/>
        </w:rPr>
        <w:t>les entités dont le siège ou les établissements sont situés géographiquement hors du territoire statistique français</w:t>
      </w:r>
      <w:r w:rsidR="00762BC9" w:rsidRPr="00A74928">
        <w:rPr>
          <w:rFonts w:asciiTheme="minorHAnsi" w:hAnsiTheme="minorHAnsi"/>
          <w:color w:val="000000" w:themeColor="text1"/>
          <w:szCs w:val="22"/>
        </w:rPr>
        <w:t xml:space="preserve">. </w:t>
      </w:r>
      <w:r w:rsidRPr="00A74928">
        <w:rPr>
          <w:rFonts w:asciiTheme="minorHAnsi" w:hAnsiTheme="minorHAnsi"/>
          <w:color w:val="000000" w:themeColor="text1"/>
          <w:szCs w:val="22"/>
        </w:rPr>
        <w:t>L</w:t>
      </w:r>
      <w:r w:rsidR="000D40AD" w:rsidRPr="00A74928">
        <w:rPr>
          <w:rFonts w:asciiTheme="minorHAnsi" w:hAnsiTheme="minorHAnsi"/>
          <w:color w:val="000000" w:themeColor="text1"/>
          <w:szCs w:val="22"/>
        </w:rPr>
        <w:t xml:space="preserve">es entreprises et </w:t>
      </w:r>
      <w:r w:rsidRPr="00A74928">
        <w:rPr>
          <w:rFonts w:asciiTheme="minorHAnsi" w:hAnsiTheme="minorHAnsi"/>
          <w:color w:val="000000" w:themeColor="text1"/>
          <w:szCs w:val="22"/>
        </w:rPr>
        <w:t xml:space="preserve">les </w:t>
      </w:r>
      <w:r w:rsidR="000D40AD" w:rsidRPr="00A74928">
        <w:rPr>
          <w:rFonts w:asciiTheme="minorHAnsi" w:hAnsiTheme="minorHAnsi"/>
          <w:color w:val="000000" w:themeColor="text1"/>
          <w:szCs w:val="22"/>
        </w:rPr>
        <w:t xml:space="preserve">établissements avec qui </w:t>
      </w:r>
      <w:r w:rsidRPr="00A74928">
        <w:rPr>
          <w:rFonts w:asciiTheme="minorHAnsi" w:hAnsiTheme="minorHAnsi"/>
          <w:color w:val="000000" w:themeColor="text1"/>
          <w:szCs w:val="22"/>
        </w:rPr>
        <w:t>il</w:t>
      </w:r>
      <w:r w:rsidR="00762BC9" w:rsidRPr="00A74928">
        <w:rPr>
          <w:rFonts w:asciiTheme="minorHAnsi" w:hAnsiTheme="minorHAnsi"/>
          <w:color w:val="000000" w:themeColor="text1"/>
          <w:szCs w:val="22"/>
        </w:rPr>
        <w:t>s sont</w:t>
      </w:r>
      <w:r w:rsidR="000D40AD" w:rsidRPr="00A74928">
        <w:rPr>
          <w:rFonts w:asciiTheme="minorHAnsi" w:hAnsiTheme="minorHAnsi"/>
          <w:color w:val="000000" w:themeColor="text1"/>
          <w:szCs w:val="22"/>
        </w:rPr>
        <w:t xml:space="preserve"> en relation d’affaires, et dont le siège ou les implantations sont situés hors </w:t>
      </w:r>
      <w:r w:rsidR="00D60392" w:rsidRPr="00A74928">
        <w:rPr>
          <w:rFonts w:asciiTheme="minorHAnsi" w:hAnsiTheme="minorHAnsi"/>
          <w:color w:val="000000" w:themeColor="text1"/>
          <w:szCs w:val="22"/>
        </w:rPr>
        <w:t>de ce territoire</w:t>
      </w:r>
      <w:r w:rsidR="00762BC9" w:rsidRPr="00A74928">
        <w:rPr>
          <w:rFonts w:asciiTheme="minorHAnsi" w:hAnsiTheme="minorHAnsi"/>
          <w:color w:val="000000" w:themeColor="text1"/>
          <w:szCs w:val="22"/>
        </w:rPr>
        <w:t xml:space="preserve">, doivent </w:t>
      </w:r>
      <w:r w:rsidRPr="00A74928">
        <w:rPr>
          <w:rFonts w:asciiTheme="minorHAnsi" w:hAnsiTheme="minorHAnsi"/>
          <w:color w:val="000000" w:themeColor="text1"/>
          <w:szCs w:val="22"/>
        </w:rPr>
        <w:t>être</w:t>
      </w:r>
      <w:r w:rsidR="00762BC9" w:rsidRPr="00A74928">
        <w:rPr>
          <w:rFonts w:asciiTheme="minorHAnsi" w:hAnsiTheme="minorHAnsi"/>
          <w:color w:val="000000" w:themeColor="text1"/>
          <w:szCs w:val="22"/>
        </w:rPr>
        <w:t xml:space="preserve"> </w:t>
      </w:r>
      <w:r w:rsidRPr="00A74928">
        <w:rPr>
          <w:rFonts w:asciiTheme="minorHAnsi" w:hAnsiTheme="minorHAnsi"/>
          <w:color w:val="000000" w:themeColor="text1"/>
          <w:szCs w:val="22"/>
        </w:rPr>
        <w:t>considérés</w:t>
      </w:r>
      <w:r w:rsidR="00762BC9" w:rsidRPr="00A74928">
        <w:rPr>
          <w:rFonts w:asciiTheme="minorHAnsi" w:hAnsiTheme="minorHAnsi"/>
          <w:color w:val="000000" w:themeColor="text1"/>
          <w:szCs w:val="22"/>
        </w:rPr>
        <w:t xml:space="preserve"> </w:t>
      </w:r>
      <w:r w:rsidR="00FC56E9" w:rsidRPr="00A74928">
        <w:rPr>
          <w:rFonts w:asciiTheme="minorHAnsi" w:hAnsiTheme="minorHAnsi"/>
          <w:color w:val="000000" w:themeColor="text1"/>
          <w:szCs w:val="22"/>
        </w:rPr>
        <w:t xml:space="preserve">comme </w:t>
      </w:r>
      <w:r w:rsidR="00762BC9" w:rsidRPr="00A74928">
        <w:rPr>
          <w:rFonts w:asciiTheme="minorHAnsi" w:hAnsiTheme="minorHAnsi"/>
          <w:color w:val="000000" w:themeColor="text1"/>
          <w:szCs w:val="22"/>
        </w:rPr>
        <w:t>non</w:t>
      </w:r>
      <w:r w:rsidR="00F568EB" w:rsidRPr="00A74928">
        <w:rPr>
          <w:rFonts w:asciiTheme="minorHAnsi" w:hAnsiTheme="minorHAnsi"/>
          <w:color w:val="000000" w:themeColor="text1"/>
          <w:szCs w:val="22"/>
        </w:rPr>
        <w:t>-</w:t>
      </w:r>
      <w:r w:rsidR="00762BC9" w:rsidRPr="00A74928">
        <w:rPr>
          <w:rFonts w:asciiTheme="minorHAnsi" w:hAnsiTheme="minorHAnsi"/>
          <w:color w:val="000000" w:themeColor="text1"/>
          <w:szCs w:val="22"/>
        </w:rPr>
        <w:t>résidents</w:t>
      </w:r>
      <w:r w:rsidR="0092295D" w:rsidRPr="00A74928">
        <w:rPr>
          <w:rFonts w:asciiTheme="minorHAnsi" w:hAnsiTheme="minorHAnsi"/>
          <w:color w:val="000000" w:themeColor="text1"/>
          <w:szCs w:val="22"/>
        </w:rPr>
        <w:t>, de même que</w:t>
      </w:r>
      <w:r w:rsidRPr="00A74928">
        <w:rPr>
          <w:rFonts w:asciiTheme="minorHAnsi" w:hAnsiTheme="minorHAnsi"/>
          <w:color w:val="000000" w:themeColor="text1"/>
          <w:szCs w:val="22"/>
        </w:rPr>
        <w:t xml:space="preserve"> les</w:t>
      </w:r>
      <w:r w:rsidR="0092295D" w:rsidRPr="00A74928">
        <w:rPr>
          <w:rFonts w:asciiTheme="minorHAnsi" w:hAnsiTheme="minorHAnsi"/>
          <w:szCs w:val="22"/>
        </w:rPr>
        <w:t xml:space="preserve"> sociétés étrangèr</w:t>
      </w:r>
      <w:r w:rsidRPr="00A74928">
        <w:rPr>
          <w:rFonts w:asciiTheme="minorHAnsi" w:hAnsiTheme="minorHAnsi"/>
          <w:szCs w:val="22"/>
        </w:rPr>
        <w:t>es, sans implantation en France, avec lesquel</w:t>
      </w:r>
      <w:r w:rsidR="00582027" w:rsidRPr="00A74928">
        <w:rPr>
          <w:rFonts w:asciiTheme="minorHAnsi" w:hAnsiTheme="minorHAnsi"/>
          <w:szCs w:val="22"/>
        </w:rPr>
        <w:t>le</w:t>
      </w:r>
      <w:r w:rsidRPr="00A74928">
        <w:rPr>
          <w:rFonts w:asciiTheme="minorHAnsi" w:hAnsiTheme="minorHAnsi"/>
          <w:szCs w:val="22"/>
        </w:rPr>
        <w:t xml:space="preserve">s des règlements peuvent avoir lieu, </w:t>
      </w:r>
      <w:r w:rsidR="005135C2" w:rsidRPr="00A74928">
        <w:rPr>
          <w:rFonts w:asciiTheme="minorHAnsi" w:hAnsiTheme="minorHAnsi"/>
          <w:szCs w:val="22"/>
        </w:rPr>
        <w:t xml:space="preserve">et </w:t>
      </w:r>
      <w:r w:rsidR="0092295D" w:rsidRPr="00A74928">
        <w:rPr>
          <w:rFonts w:asciiTheme="minorHAnsi" w:hAnsiTheme="minorHAnsi"/>
          <w:szCs w:val="22"/>
        </w:rPr>
        <w:t>dont la présence sur le territoire national se limite à la seule détention de comptes bancaires (gérés depuis l’étranger).</w:t>
      </w:r>
    </w:p>
    <w:p w:rsidR="00167273" w:rsidRPr="00A74928" w:rsidRDefault="00AF516C" w:rsidP="001D2B22">
      <w:pPr>
        <w:numPr>
          <w:ilvl w:val="0"/>
          <w:numId w:val="22"/>
        </w:numPr>
        <w:spacing w:before="120"/>
        <w:ind w:left="426"/>
        <w:rPr>
          <w:rFonts w:asciiTheme="minorHAnsi" w:hAnsiTheme="minorHAnsi"/>
          <w:color w:val="000000" w:themeColor="text1"/>
          <w:szCs w:val="22"/>
        </w:rPr>
      </w:pPr>
      <w:r w:rsidRPr="00A74928">
        <w:rPr>
          <w:rFonts w:asciiTheme="minorHAnsi" w:hAnsiTheme="minorHAnsi"/>
          <w:color w:val="000000" w:themeColor="text1"/>
          <w:szCs w:val="22"/>
        </w:rPr>
        <w:t>S’agissant des relations « intra-groupe »</w:t>
      </w:r>
      <w:r w:rsidR="008B1F56" w:rsidRPr="00A74928">
        <w:rPr>
          <w:rFonts w:asciiTheme="minorHAnsi" w:hAnsiTheme="minorHAnsi"/>
          <w:color w:val="000000" w:themeColor="text1"/>
          <w:szCs w:val="22"/>
        </w:rPr>
        <w:t>, l</w:t>
      </w:r>
      <w:r w:rsidR="005135C2" w:rsidRPr="00A74928">
        <w:rPr>
          <w:rFonts w:asciiTheme="minorHAnsi" w:hAnsiTheme="minorHAnsi"/>
          <w:color w:val="000000" w:themeColor="text1"/>
          <w:szCs w:val="22"/>
        </w:rPr>
        <w:t>es</w:t>
      </w:r>
      <w:r w:rsidR="00DB560E" w:rsidRPr="00A74928">
        <w:rPr>
          <w:rFonts w:asciiTheme="minorHAnsi" w:hAnsiTheme="minorHAnsi"/>
          <w:color w:val="000000" w:themeColor="text1"/>
          <w:szCs w:val="22"/>
        </w:rPr>
        <w:t xml:space="preserve"> DDG </w:t>
      </w:r>
      <w:r w:rsidR="00CF40FE" w:rsidRPr="00A74928">
        <w:rPr>
          <w:rFonts w:asciiTheme="minorHAnsi" w:hAnsiTheme="minorHAnsi"/>
          <w:color w:val="000000" w:themeColor="text1"/>
          <w:szCs w:val="22"/>
        </w:rPr>
        <w:t>doivent</w:t>
      </w:r>
      <w:r w:rsidR="00DB560E" w:rsidRPr="00A74928">
        <w:rPr>
          <w:rFonts w:asciiTheme="minorHAnsi" w:hAnsiTheme="minorHAnsi"/>
          <w:color w:val="000000" w:themeColor="text1"/>
          <w:szCs w:val="22"/>
        </w:rPr>
        <w:t xml:space="preserve"> </w:t>
      </w:r>
      <w:r w:rsidR="00CF40FE" w:rsidRPr="00A74928">
        <w:rPr>
          <w:rFonts w:asciiTheme="minorHAnsi" w:hAnsiTheme="minorHAnsi"/>
          <w:color w:val="000000" w:themeColor="text1"/>
          <w:szCs w:val="22"/>
        </w:rPr>
        <w:t>déclarer le</w:t>
      </w:r>
      <w:r w:rsidR="008B1F56" w:rsidRPr="00A74928">
        <w:rPr>
          <w:rFonts w:asciiTheme="minorHAnsi" w:hAnsiTheme="minorHAnsi"/>
          <w:color w:val="000000" w:themeColor="text1"/>
          <w:szCs w:val="22"/>
        </w:rPr>
        <w:t>s</w:t>
      </w:r>
      <w:r w:rsidR="00504F1E" w:rsidRPr="00A74928">
        <w:rPr>
          <w:rFonts w:asciiTheme="minorHAnsi" w:hAnsiTheme="minorHAnsi"/>
          <w:color w:val="000000" w:themeColor="text1"/>
          <w:szCs w:val="22"/>
        </w:rPr>
        <w:t xml:space="preserve"> </w:t>
      </w:r>
      <w:r w:rsidR="00CF40FE" w:rsidRPr="00A74928">
        <w:rPr>
          <w:rFonts w:asciiTheme="minorHAnsi" w:hAnsiTheme="minorHAnsi"/>
          <w:color w:val="000000" w:themeColor="text1"/>
          <w:szCs w:val="22"/>
        </w:rPr>
        <w:t xml:space="preserve">transactions </w:t>
      </w:r>
      <w:r w:rsidRPr="00A74928">
        <w:rPr>
          <w:rFonts w:asciiTheme="minorHAnsi" w:hAnsiTheme="minorHAnsi"/>
          <w:color w:val="000000" w:themeColor="text1"/>
          <w:szCs w:val="22"/>
        </w:rPr>
        <w:t xml:space="preserve">réalisées </w:t>
      </w:r>
      <w:r w:rsidR="00B80776" w:rsidRPr="00A74928">
        <w:rPr>
          <w:rFonts w:asciiTheme="minorHAnsi" w:hAnsiTheme="minorHAnsi"/>
          <w:color w:val="000000" w:themeColor="text1"/>
          <w:szCs w:val="22"/>
        </w:rPr>
        <w:t>a</w:t>
      </w:r>
      <w:r w:rsidR="00DB560E" w:rsidRPr="00A74928">
        <w:rPr>
          <w:rFonts w:asciiTheme="minorHAnsi" w:hAnsiTheme="minorHAnsi"/>
          <w:color w:val="000000" w:themeColor="text1"/>
          <w:szCs w:val="22"/>
        </w:rPr>
        <w:t xml:space="preserve">vec </w:t>
      </w:r>
      <w:r w:rsidR="00CF40FE" w:rsidRPr="00A74928">
        <w:rPr>
          <w:rFonts w:asciiTheme="minorHAnsi" w:hAnsiTheme="minorHAnsi"/>
          <w:color w:val="000000" w:themeColor="text1"/>
          <w:szCs w:val="22"/>
        </w:rPr>
        <w:t>l</w:t>
      </w:r>
      <w:r w:rsidR="00D60392" w:rsidRPr="00A74928">
        <w:rPr>
          <w:rFonts w:asciiTheme="minorHAnsi" w:hAnsiTheme="minorHAnsi"/>
          <w:color w:val="000000" w:themeColor="text1"/>
          <w:szCs w:val="22"/>
        </w:rPr>
        <w:t>e</w:t>
      </w:r>
      <w:r w:rsidR="00CF40FE" w:rsidRPr="00A74928">
        <w:rPr>
          <w:rFonts w:asciiTheme="minorHAnsi" w:hAnsiTheme="minorHAnsi"/>
          <w:color w:val="000000" w:themeColor="text1"/>
          <w:szCs w:val="22"/>
        </w:rPr>
        <w:t>urs</w:t>
      </w:r>
      <w:r w:rsidR="000D40AD" w:rsidRPr="00A74928">
        <w:rPr>
          <w:rFonts w:asciiTheme="minorHAnsi" w:hAnsiTheme="minorHAnsi"/>
          <w:color w:val="000000" w:themeColor="text1"/>
          <w:szCs w:val="22"/>
        </w:rPr>
        <w:t xml:space="preserve"> filiales </w:t>
      </w:r>
      <w:r w:rsidR="008B1F56" w:rsidRPr="00A74928">
        <w:rPr>
          <w:rFonts w:asciiTheme="minorHAnsi" w:hAnsiTheme="minorHAnsi"/>
          <w:color w:val="000000" w:themeColor="text1"/>
          <w:szCs w:val="22"/>
        </w:rPr>
        <w:t xml:space="preserve">étrangères, </w:t>
      </w:r>
      <w:r w:rsidRPr="00A74928">
        <w:rPr>
          <w:rFonts w:asciiTheme="minorHAnsi" w:hAnsiTheme="minorHAnsi"/>
          <w:color w:val="000000" w:themeColor="text1"/>
          <w:szCs w:val="22"/>
        </w:rPr>
        <w:t xml:space="preserve">qui sont </w:t>
      </w:r>
      <w:r w:rsidR="00BD620A" w:rsidRPr="00A74928">
        <w:rPr>
          <w:rFonts w:asciiTheme="minorHAnsi" w:hAnsiTheme="minorHAnsi"/>
          <w:color w:val="000000" w:themeColor="text1"/>
          <w:szCs w:val="22"/>
        </w:rPr>
        <w:t xml:space="preserve">toujours </w:t>
      </w:r>
      <w:r w:rsidR="008B1F56" w:rsidRPr="00A74928">
        <w:rPr>
          <w:rFonts w:asciiTheme="minorHAnsi" w:hAnsiTheme="minorHAnsi"/>
          <w:color w:val="000000" w:themeColor="text1"/>
          <w:szCs w:val="22"/>
        </w:rPr>
        <w:t>non résidentes</w:t>
      </w:r>
      <w:r w:rsidR="00C26E2D" w:rsidRPr="00A74928">
        <w:rPr>
          <w:rFonts w:asciiTheme="minorHAnsi" w:hAnsiTheme="minorHAnsi"/>
          <w:color w:val="000000" w:themeColor="text1"/>
          <w:szCs w:val="22"/>
        </w:rPr>
        <w:t>.</w:t>
      </w:r>
    </w:p>
    <w:p w:rsidR="000D40AD" w:rsidRPr="00A74928" w:rsidRDefault="000D40AD" w:rsidP="001D2B22">
      <w:pPr>
        <w:numPr>
          <w:ilvl w:val="0"/>
          <w:numId w:val="22"/>
        </w:numPr>
        <w:spacing w:before="120"/>
        <w:ind w:left="426"/>
        <w:rPr>
          <w:rFonts w:asciiTheme="minorHAnsi" w:hAnsiTheme="minorHAnsi"/>
          <w:color w:val="000000" w:themeColor="text1"/>
          <w:szCs w:val="22"/>
        </w:rPr>
      </w:pPr>
      <w:r w:rsidRPr="00A74928">
        <w:rPr>
          <w:rFonts w:asciiTheme="minorHAnsi" w:hAnsiTheme="minorHAnsi"/>
          <w:color w:val="000000" w:themeColor="text1"/>
          <w:szCs w:val="22"/>
        </w:rPr>
        <w:t>En revanche</w:t>
      </w:r>
      <w:r w:rsidR="00525F15" w:rsidRPr="00A74928">
        <w:rPr>
          <w:rFonts w:asciiTheme="minorHAnsi" w:hAnsiTheme="minorHAnsi"/>
          <w:color w:val="000000" w:themeColor="text1"/>
          <w:szCs w:val="22"/>
        </w:rPr>
        <w:t>,</w:t>
      </w:r>
      <w:r w:rsidRPr="00A74928">
        <w:rPr>
          <w:rFonts w:asciiTheme="minorHAnsi" w:hAnsiTheme="minorHAnsi"/>
          <w:color w:val="000000" w:themeColor="text1"/>
          <w:szCs w:val="22"/>
        </w:rPr>
        <w:t xml:space="preserve"> l</w:t>
      </w:r>
      <w:r w:rsidR="005135C2" w:rsidRPr="00A74928">
        <w:rPr>
          <w:rFonts w:asciiTheme="minorHAnsi" w:hAnsiTheme="minorHAnsi"/>
          <w:color w:val="000000" w:themeColor="text1"/>
          <w:szCs w:val="22"/>
        </w:rPr>
        <w:t>a question des établissements</w:t>
      </w:r>
      <w:r w:rsidR="00F5510D" w:rsidRPr="00A74928">
        <w:rPr>
          <w:rFonts w:asciiTheme="minorHAnsi" w:hAnsiTheme="minorHAnsi"/>
          <w:color w:val="000000" w:themeColor="text1"/>
          <w:szCs w:val="22"/>
        </w:rPr>
        <w:t>, des succursales ou des</w:t>
      </w:r>
      <w:r w:rsidR="00504F1E" w:rsidRPr="00A74928">
        <w:rPr>
          <w:rFonts w:asciiTheme="minorHAnsi" w:hAnsiTheme="minorHAnsi"/>
          <w:color w:val="000000" w:themeColor="text1"/>
          <w:szCs w:val="22"/>
        </w:rPr>
        <w:t xml:space="preserve"> bureaux de</w:t>
      </w:r>
      <w:r w:rsidR="008B1F56" w:rsidRPr="00A74928">
        <w:rPr>
          <w:rFonts w:asciiTheme="minorHAnsi" w:hAnsiTheme="minorHAnsi"/>
          <w:color w:val="000000" w:themeColor="text1"/>
          <w:szCs w:val="22"/>
        </w:rPr>
        <w:t xml:space="preserve"> </w:t>
      </w:r>
      <w:r w:rsidR="00504F1E" w:rsidRPr="00A74928">
        <w:rPr>
          <w:rFonts w:asciiTheme="minorHAnsi" w:hAnsiTheme="minorHAnsi"/>
          <w:color w:val="000000" w:themeColor="text1"/>
          <w:szCs w:val="22"/>
        </w:rPr>
        <w:t>repr</w:t>
      </w:r>
      <w:r w:rsidR="008B1F56" w:rsidRPr="00A74928">
        <w:rPr>
          <w:rFonts w:asciiTheme="minorHAnsi" w:hAnsiTheme="minorHAnsi"/>
          <w:color w:val="000000" w:themeColor="text1"/>
          <w:szCs w:val="22"/>
        </w:rPr>
        <w:t xml:space="preserve">ésentation </w:t>
      </w:r>
      <w:r w:rsidR="00131BE5" w:rsidRPr="00A74928">
        <w:rPr>
          <w:rFonts w:asciiTheme="minorHAnsi" w:hAnsiTheme="minorHAnsi"/>
          <w:color w:val="000000" w:themeColor="text1"/>
          <w:szCs w:val="22"/>
        </w:rPr>
        <w:t>qu’ils possèdent à l’étranger p</w:t>
      </w:r>
      <w:r w:rsidR="00504F1E" w:rsidRPr="00A74928">
        <w:rPr>
          <w:rFonts w:asciiTheme="minorHAnsi" w:hAnsiTheme="minorHAnsi"/>
          <w:color w:val="000000" w:themeColor="text1"/>
          <w:szCs w:val="22"/>
        </w:rPr>
        <w:t>eut se poser</w:t>
      </w:r>
      <w:r w:rsidR="008B1F56" w:rsidRPr="00A74928">
        <w:rPr>
          <w:rFonts w:asciiTheme="minorHAnsi" w:hAnsiTheme="minorHAnsi"/>
          <w:color w:val="000000" w:themeColor="text1"/>
          <w:szCs w:val="22"/>
        </w:rPr>
        <w:t>, lorsque ces entités sont limitées en taille et en moyens</w:t>
      </w:r>
      <w:r w:rsidR="00504F1E" w:rsidRPr="00A74928">
        <w:rPr>
          <w:rFonts w:asciiTheme="minorHAnsi" w:hAnsiTheme="minorHAnsi"/>
          <w:color w:val="000000" w:themeColor="text1"/>
          <w:szCs w:val="22"/>
        </w:rPr>
        <w:t>.</w:t>
      </w:r>
      <w:r w:rsidR="008B1F56" w:rsidRPr="00A74928">
        <w:rPr>
          <w:rFonts w:asciiTheme="minorHAnsi" w:hAnsiTheme="minorHAnsi"/>
          <w:color w:val="000000" w:themeColor="text1"/>
          <w:szCs w:val="22"/>
        </w:rPr>
        <w:t xml:space="preserve"> Si elles</w:t>
      </w:r>
      <w:r w:rsidRPr="00A74928">
        <w:rPr>
          <w:rFonts w:asciiTheme="minorHAnsi" w:hAnsiTheme="minorHAnsi"/>
          <w:color w:val="000000" w:themeColor="text1"/>
          <w:szCs w:val="22"/>
        </w:rPr>
        <w:t xml:space="preserve"> ne disposent pas d’une ré</w:t>
      </w:r>
      <w:r w:rsidR="008B1F56" w:rsidRPr="00A74928">
        <w:rPr>
          <w:rFonts w:asciiTheme="minorHAnsi" w:hAnsiTheme="minorHAnsi"/>
          <w:color w:val="000000" w:themeColor="text1"/>
          <w:szCs w:val="22"/>
        </w:rPr>
        <w:t xml:space="preserve">elle autonomie (avec </w:t>
      </w:r>
      <w:r w:rsidR="00131BE5" w:rsidRPr="00A74928">
        <w:rPr>
          <w:rFonts w:asciiTheme="minorHAnsi" w:hAnsiTheme="minorHAnsi"/>
          <w:color w:val="000000" w:themeColor="text1"/>
          <w:szCs w:val="22"/>
        </w:rPr>
        <w:t>la</w:t>
      </w:r>
      <w:r w:rsidR="008B1F56" w:rsidRPr="00A74928">
        <w:rPr>
          <w:rFonts w:asciiTheme="minorHAnsi" w:hAnsiTheme="minorHAnsi"/>
          <w:color w:val="000000" w:themeColor="text1"/>
          <w:szCs w:val="22"/>
        </w:rPr>
        <w:t xml:space="preserve"> c</w:t>
      </w:r>
      <w:r w:rsidRPr="00A74928">
        <w:rPr>
          <w:rFonts w:asciiTheme="minorHAnsi" w:hAnsiTheme="minorHAnsi"/>
          <w:color w:val="000000" w:themeColor="text1"/>
          <w:szCs w:val="22"/>
        </w:rPr>
        <w:t>apacité d</w:t>
      </w:r>
      <w:r w:rsidR="00CF40FE" w:rsidRPr="00A74928">
        <w:rPr>
          <w:rFonts w:asciiTheme="minorHAnsi" w:hAnsiTheme="minorHAnsi"/>
          <w:color w:val="000000" w:themeColor="text1"/>
          <w:szCs w:val="22"/>
        </w:rPr>
        <w:t xml:space="preserve">e </w:t>
      </w:r>
      <w:r w:rsidR="00131BE5" w:rsidRPr="00A74928">
        <w:rPr>
          <w:rFonts w:asciiTheme="minorHAnsi" w:hAnsiTheme="minorHAnsi"/>
          <w:color w:val="000000" w:themeColor="text1"/>
          <w:szCs w:val="22"/>
        </w:rPr>
        <w:t xml:space="preserve">tenir une comptabilité séparée, de </w:t>
      </w:r>
      <w:r w:rsidR="00CF40FE" w:rsidRPr="00A74928">
        <w:rPr>
          <w:rFonts w:asciiTheme="minorHAnsi" w:hAnsiTheme="minorHAnsi"/>
          <w:color w:val="000000" w:themeColor="text1"/>
          <w:szCs w:val="22"/>
        </w:rPr>
        <w:t xml:space="preserve">gérer </w:t>
      </w:r>
      <w:r w:rsidR="00D60392" w:rsidRPr="00A74928">
        <w:rPr>
          <w:rFonts w:asciiTheme="minorHAnsi" w:hAnsiTheme="minorHAnsi"/>
          <w:color w:val="000000" w:themeColor="text1"/>
          <w:szCs w:val="22"/>
        </w:rPr>
        <w:t>une trésorerie</w:t>
      </w:r>
      <w:r w:rsidR="00F5510D" w:rsidRPr="00A74928">
        <w:rPr>
          <w:rFonts w:asciiTheme="minorHAnsi" w:hAnsiTheme="minorHAnsi"/>
          <w:color w:val="000000" w:themeColor="text1"/>
          <w:szCs w:val="22"/>
        </w:rPr>
        <w:t xml:space="preserve">, d’emprunter, </w:t>
      </w:r>
      <w:r w:rsidR="00131BE5" w:rsidRPr="00A74928">
        <w:rPr>
          <w:rFonts w:asciiTheme="minorHAnsi" w:hAnsiTheme="minorHAnsi"/>
          <w:color w:val="000000" w:themeColor="text1"/>
          <w:szCs w:val="22"/>
        </w:rPr>
        <w:t xml:space="preserve">ou </w:t>
      </w:r>
      <w:r w:rsidR="00F5510D" w:rsidRPr="00A74928">
        <w:rPr>
          <w:rFonts w:asciiTheme="minorHAnsi" w:hAnsiTheme="minorHAnsi"/>
          <w:color w:val="000000" w:themeColor="text1"/>
          <w:szCs w:val="22"/>
        </w:rPr>
        <w:t>de payer des impôts</w:t>
      </w:r>
      <w:r w:rsidR="00AF516C" w:rsidRPr="00A74928">
        <w:rPr>
          <w:rFonts w:asciiTheme="minorHAnsi" w:hAnsiTheme="minorHAnsi"/>
          <w:color w:val="000000" w:themeColor="text1"/>
          <w:szCs w:val="22"/>
        </w:rPr>
        <w:t xml:space="preserve"> </w:t>
      </w:r>
      <w:r w:rsidR="00F5510D" w:rsidRPr="00A74928">
        <w:rPr>
          <w:rFonts w:asciiTheme="minorHAnsi" w:hAnsiTheme="minorHAnsi"/>
          <w:color w:val="000000" w:themeColor="text1"/>
          <w:szCs w:val="22"/>
        </w:rPr>
        <w:t>sur leur territoire d’accueil</w:t>
      </w:r>
      <w:r w:rsidR="008B1F56" w:rsidRPr="00A74928">
        <w:rPr>
          <w:rFonts w:asciiTheme="minorHAnsi" w:hAnsiTheme="minorHAnsi"/>
          <w:color w:val="000000" w:themeColor="text1"/>
          <w:szCs w:val="22"/>
        </w:rPr>
        <w:t>)</w:t>
      </w:r>
      <w:r w:rsidRPr="00A74928">
        <w:rPr>
          <w:rFonts w:asciiTheme="minorHAnsi" w:hAnsiTheme="minorHAnsi"/>
          <w:color w:val="000000" w:themeColor="text1"/>
          <w:szCs w:val="22"/>
        </w:rPr>
        <w:t xml:space="preserve">, </w:t>
      </w:r>
      <w:r w:rsidR="00504F1E" w:rsidRPr="00A74928">
        <w:rPr>
          <w:rFonts w:asciiTheme="minorHAnsi" w:hAnsiTheme="minorHAnsi"/>
          <w:color w:val="000000" w:themeColor="text1"/>
          <w:szCs w:val="22"/>
        </w:rPr>
        <w:t>leur</w:t>
      </w:r>
      <w:r w:rsidRPr="00A74928">
        <w:rPr>
          <w:rFonts w:asciiTheme="minorHAnsi" w:hAnsiTheme="minorHAnsi"/>
          <w:color w:val="000000" w:themeColor="text1"/>
          <w:szCs w:val="22"/>
        </w:rPr>
        <w:t xml:space="preserve"> activité d</w:t>
      </w:r>
      <w:r w:rsidR="00504F1E" w:rsidRPr="00A74928">
        <w:rPr>
          <w:rFonts w:asciiTheme="minorHAnsi" w:hAnsiTheme="minorHAnsi"/>
          <w:color w:val="000000" w:themeColor="text1"/>
          <w:szCs w:val="22"/>
        </w:rPr>
        <w:t>oit</w:t>
      </w:r>
      <w:r w:rsidRPr="00A74928">
        <w:rPr>
          <w:rFonts w:asciiTheme="minorHAnsi" w:hAnsiTheme="minorHAnsi"/>
          <w:color w:val="000000" w:themeColor="text1"/>
          <w:szCs w:val="22"/>
        </w:rPr>
        <w:t xml:space="preserve"> être considérée comme exercée directement par </w:t>
      </w:r>
      <w:r w:rsidR="00D60392" w:rsidRPr="00A74928">
        <w:rPr>
          <w:rFonts w:asciiTheme="minorHAnsi" w:hAnsiTheme="minorHAnsi"/>
          <w:color w:val="000000" w:themeColor="text1"/>
          <w:szCs w:val="22"/>
        </w:rPr>
        <w:t>le déclarant</w:t>
      </w:r>
      <w:r w:rsidRPr="00A74928">
        <w:rPr>
          <w:rFonts w:asciiTheme="minorHAnsi" w:hAnsiTheme="minorHAnsi"/>
          <w:color w:val="000000" w:themeColor="text1"/>
          <w:szCs w:val="22"/>
        </w:rPr>
        <w:t>. Le personnel</w:t>
      </w:r>
      <w:r w:rsidR="00B80776" w:rsidRPr="00A74928">
        <w:rPr>
          <w:rFonts w:asciiTheme="minorHAnsi" w:hAnsiTheme="minorHAnsi"/>
          <w:color w:val="000000" w:themeColor="text1"/>
          <w:szCs w:val="22"/>
        </w:rPr>
        <w:t xml:space="preserve"> </w:t>
      </w:r>
      <w:r w:rsidRPr="00A74928">
        <w:rPr>
          <w:rFonts w:asciiTheme="minorHAnsi" w:hAnsiTheme="minorHAnsi"/>
          <w:color w:val="000000" w:themeColor="text1"/>
          <w:szCs w:val="22"/>
        </w:rPr>
        <w:t>e</w:t>
      </w:r>
      <w:r w:rsidR="00AF516C" w:rsidRPr="00A74928">
        <w:rPr>
          <w:rFonts w:asciiTheme="minorHAnsi" w:hAnsiTheme="minorHAnsi"/>
          <w:color w:val="000000" w:themeColor="text1"/>
          <w:szCs w:val="22"/>
        </w:rPr>
        <w:t xml:space="preserve">mployé sur place est </w:t>
      </w:r>
      <w:r w:rsidRPr="00A74928">
        <w:rPr>
          <w:rFonts w:asciiTheme="minorHAnsi" w:hAnsiTheme="minorHAnsi"/>
          <w:color w:val="000000" w:themeColor="text1"/>
          <w:szCs w:val="22"/>
        </w:rPr>
        <w:t>susceptible d’être non résident s’il réside durablement sur le lieu de la représentation.</w:t>
      </w:r>
    </w:p>
    <w:p w:rsidR="00D60392" w:rsidRPr="00A74928" w:rsidRDefault="00D60392" w:rsidP="000D40AD">
      <w:pPr>
        <w:rPr>
          <w:rFonts w:asciiTheme="minorHAnsi" w:hAnsiTheme="minorHAnsi"/>
          <w:szCs w:val="22"/>
        </w:rPr>
      </w:pPr>
    </w:p>
    <w:p w:rsidR="001D2B22" w:rsidRPr="00A74928" w:rsidRDefault="001D2B22" w:rsidP="000D40AD">
      <w:pPr>
        <w:rPr>
          <w:rFonts w:asciiTheme="minorHAnsi" w:hAnsiTheme="minorHAnsi"/>
          <w:szCs w:val="22"/>
        </w:rPr>
      </w:pPr>
      <w:r>
        <w:rPr>
          <w:szCs w:val="22"/>
        </w:rPr>
        <w:br w:type="page"/>
      </w:r>
    </w:p>
    <w:p w:rsidR="000D40AD" w:rsidRPr="00A74928" w:rsidRDefault="002259BD" w:rsidP="000D40AD">
      <w:pPr>
        <w:rPr>
          <w:rFonts w:asciiTheme="minorHAnsi" w:hAnsiTheme="minorHAnsi" w:cs="Arial"/>
          <w:b/>
          <w:szCs w:val="22"/>
        </w:rPr>
      </w:pPr>
      <w:r w:rsidRPr="00A74928">
        <w:rPr>
          <w:rFonts w:asciiTheme="minorHAnsi" w:hAnsiTheme="minorHAnsi" w:cs="Arial"/>
          <w:b/>
          <w:szCs w:val="22"/>
        </w:rPr>
        <w:lastRenderedPageBreak/>
        <w:t>Principes d’évaluation et chronologie</w:t>
      </w:r>
      <w:r w:rsidR="002D725C" w:rsidRPr="00A74928">
        <w:rPr>
          <w:rFonts w:asciiTheme="minorHAnsi" w:hAnsiTheme="minorHAnsi" w:cs="Arial"/>
          <w:b/>
          <w:szCs w:val="22"/>
        </w:rPr>
        <w:t> </w:t>
      </w:r>
      <w:r w:rsidR="00ED0EE1" w:rsidRPr="00A74928">
        <w:rPr>
          <w:rFonts w:asciiTheme="minorHAnsi" w:hAnsiTheme="minorHAnsi" w:cs="Arial"/>
          <w:b/>
          <w:szCs w:val="22"/>
        </w:rPr>
        <w:t>-</w:t>
      </w:r>
      <w:r w:rsidRPr="00A74928">
        <w:rPr>
          <w:rFonts w:asciiTheme="minorHAnsi" w:hAnsiTheme="minorHAnsi" w:cs="Arial"/>
          <w:b/>
          <w:szCs w:val="22"/>
        </w:rPr>
        <w:t xml:space="preserve"> transactions et règlements</w:t>
      </w:r>
    </w:p>
    <w:p w:rsidR="000D40AD" w:rsidRPr="00A74928" w:rsidRDefault="000D40AD" w:rsidP="000D40AD">
      <w:pPr>
        <w:rPr>
          <w:rFonts w:asciiTheme="minorHAnsi" w:hAnsiTheme="minorHAnsi"/>
          <w:szCs w:val="22"/>
        </w:rPr>
      </w:pPr>
    </w:p>
    <w:p w:rsidR="00934DA2" w:rsidRPr="00A74928" w:rsidRDefault="000D40AD" w:rsidP="000D40AD">
      <w:pPr>
        <w:rPr>
          <w:rFonts w:asciiTheme="minorHAnsi" w:hAnsiTheme="minorHAnsi"/>
          <w:b/>
          <w:szCs w:val="22"/>
        </w:rPr>
      </w:pPr>
      <w:r w:rsidRPr="00A74928">
        <w:rPr>
          <w:rFonts w:asciiTheme="minorHAnsi" w:hAnsiTheme="minorHAnsi"/>
          <w:b/>
          <w:szCs w:val="22"/>
        </w:rPr>
        <w:t>Le</w:t>
      </w:r>
      <w:r w:rsidR="00CF40FE" w:rsidRPr="00A74928">
        <w:rPr>
          <w:rFonts w:asciiTheme="minorHAnsi" w:hAnsiTheme="minorHAnsi"/>
          <w:b/>
          <w:szCs w:val="22"/>
        </w:rPr>
        <w:t>s opérations</w:t>
      </w:r>
      <w:r w:rsidRPr="00A74928">
        <w:rPr>
          <w:rFonts w:asciiTheme="minorHAnsi" w:hAnsiTheme="minorHAnsi"/>
          <w:b/>
          <w:szCs w:val="22"/>
        </w:rPr>
        <w:t xml:space="preserve"> sont à déclarer en</w:t>
      </w:r>
      <w:r w:rsidR="00CF40FE" w:rsidRPr="00A74928">
        <w:rPr>
          <w:rFonts w:asciiTheme="minorHAnsi" w:hAnsiTheme="minorHAnsi"/>
          <w:b/>
          <w:szCs w:val="22"/>
        </w:rPr>
        <w:t xml:space="preserve"> termes</w:t>
      </w:r>
      <w:r w:rsidRPr="00A74928">
        <w:rPr>
          <w:rFonts w:asciiTheme="minorHAnsi" w:hAnsiTheme="minorHAnsi"/>
          <w:b/>
          <w:szCs w:val="22"/>
        </w:rPr>
        <w:t xml:space="preserve"> d</w:t>
      </w:r>
      <w:r w:rsidR="00CF40FE" w:rsidRPr="00A74928">
        <w:rPr>
          <w:rFonts w:asciiTheme="minorHAnsi" w:hAnsiTheme="minorHAnsi"/>
          <w:b/>
          <w:szCs w:val="22"/>
        </w:rPr>
        <w:t xml:space="preserve">e transactions </w:t>
      </w:r>
      <w:r w:rsidR="00C72C7E" w:rsidRPr="00A74928">
        <w:rPr>
          <w:rFonts w:asciiTheme="minorHAnsi" w:hAnsiTheme="minorHAnsi"/>
          <w:b/>
          <w:szCs w:val="22"/>
        </w:rPr>
        <w:t>de préférence aux</w:t>
      </w:r>
      <w:r w:rsidR="00A9508A" w:rsidRPr="00A74928">
        <w:rPr>
          <w:rFonts w:asciiTheme="minorHAnsi" w:hAnsiTheme="minorHAnsi"/>
          <w:b/>
          <w:szCs w:val="22"/>
        </w:rPr>
        <w:t xml:space="preserve"> paiements</w:t>
      </w:r>
      <w:r w:rsidRPr="00A74928">
        <w:rPr>
          <w:rFonts w:asciiTheme="minorHAnsi" w:hAnsiTheme="minorHAnsi"/>
          <w:b/>
          <w:szCs w:val="22"/>
        </w:rPr>
        <w:t xml:space="preserve">, conformément aux </w:t>
      </w:r>
      <w:r w:rsidR="00CF40FE" w:rsidRPr="00A74928">
        <w:rPr>
          <w:rFonts w:asciiTheme="minorHAnsi" w:hAnsiTheme="minorHAnsi"/>
          <w:b/>
          <w:szCs w:val="22"/>
        </w:rPr>
        <w:t xml:space="preserve">principes </w:t>
      </w:r>
      <w:r w:rsidR="00B1030D" w:rsidRPr="00A74928">
        <w:rPr>
          <w:rFonts w:asciiTheme="minorHAnsi" w:hAnsiTheme="minorHAnsi"/>
          <w:b/>
          <w:szCs w:val="22"/>
        </w:rPr>
        <w:t>du</w:t>
      </w:r>
      <w:r w:rsidR="000C3C9B" w:rsidRPr="00A74928">
        <w:rPr>
          <w:rFonts w:asciiTheme="minorHAnsi" w:hAnsiTheme="minorHAnsi"/>
          <w:b/>
          <w:szCs w:val="22"/>
        </w:rPr>
        <w:t xml:space="preserve"> </w:t>
      </w:r>
      <w:r w:rsidR="002259BD" w:rsidRPr="00A74928">
        <w:rPr>
          <w:rFonts w:asciiTheme="minorHAnsi" w:hAnsiTheme="minorHAnsi"/>
          <w:b/>
          <w:szCs w:val="22"/>
        </w:rPr>
        <w:t>6</w:t>
      </w:r>
      <w:r w:rsidR="002259BD" w:rsidRPr="00A74928">
        <w:rPr>
          <w:rFonts w:asciiTheme="minorHAnsi" w:hAnsiTheme="minorHAnsi"/>
          <w:b/>
          <w:szCs w:val="22"/>
          <w:vertAlign w:val="superscript"/>
        </w:rPr>
        <w:t>e</w:t>
      </w:r>
      <w:r w:rsidR="002259BD" w:rsidRPr="00A74928">
        <w:rPr>
          <w:rFonts w:asciiTheme="minorHAnsi" w:hAnsiTheme="minorHAnsi"/>
          <w:b/>
          <w:szCs w:val="22"/>
        </w:rPr>
        <w:t xml:space="preserve"> Manuel du </w:t>
      </w:r>
      <w:r w:rsidR="000C3C9B" w:rsidRPr="00A74928">
        <w:rPr>
          <w:rFonts w:asciiTheme="minorHAnsi" w:hAnsiTheme="minorHAnsi"/>
          <w:b/>
          <w:szCs w:val="22"/>
        </w:rPr>
        <w:t>F</w:t>
      </w:r>
      <w:r w:rsidR="00AC70D0" w:rsidRPr="00A74928">
        <w:rPr>
          <w:rFonts w:asciiTheme="minorHAnsi" w:hAnsiTheme="minorHAnsi"/>
          <w:b/>
          <w:szCs w:val="22"/>
        </w:rPr>
        <w:t xml:space="preserve">MI </w:t>
      </w:r>
      <w:r w:rsidR="00A9508A" w:rsidRPr="00A74928">
        <w:rPr>
          <w:rFonts w:asciiTheme="minorHAnsi" w:hAnsiTheme="minorHAnsi"/>
          <w:b/>
          <w:szCs w:val="22"/>
        </w:rPr>
        <w:t xml:space="preserve">définissant </w:t>
      </w:r>
      <w:r w:rsidRPr="00A74928">
        <w:rPr>
          <w:rFonts w:asciiTheme="minorHAnsi" w:hAnsiTheme="minorHAnsi"/>
          <w:b/>
          <w:szCs w:val="22"/>
        </w:rPr>
        <w:t xml:space="preserve">le </w:t>
      </w:r>
      <w:r w:rsidR="00A9508A" w:rsidRPr="00A74928">
        <w:rPr>
          <w:rFonts w:asciiTheme="minorHAnsi" w:hAnsiTheme="minorHAnsi"/>
          <w:b/>
          <w:szCs w:val="22"/>
        </w:rPr>
        <w:t>cadre</w:t>
      </w:r>
      <w:r w:rsidRPr="00A74928">
        <w:rPr>
          <w:rFonts w:asciiTheme="minorHAnsi" w:hAnsiTheme="minorHAnsi"/>
          <w:b/>
          <w:szCs w:val="22"/>
        </w:rPr>
        <w:t xml:space="preserve"> </w:t>
      </w:r>
      <w:r w:rsidR="00A9508A" w:rsidRPr="00A74928">
        <w:rPr>
          <w:rFonts w:asciiTheme="minorHAnsi" w:hAnsiTheme="minorHAnsi"/>
          <w:b/>
          <w:szCs w:val="22"/>
        </w:rPr>
        <w:t>conceptuel</w:t>
      </w:r>
      <w:r w:rsidRPr="00A74928">
        <w:rPr>
          <w:rFonts w:asciiTheme="minorHAnsi" w:hAnsiTheme="minorHAnsi"/>
          <w:b/>
          <w:szCs w:val="22"/>
        </w:rPr>
        <w:t xml:space="preserve"> à appliquer </w:t>
      </w:r>
      <w:r w:rsidR="00453900" w:rsidRPr="00A74928">
        <w:rPr>
          <w:rFonts w:asciiTheme="minorHAnsi" w:hAnsiTheme="minorHAnsi"/>
          <w:b/>
          <w:szCs w:val="22"/>
        </w:rPr>
        <w:t>au</w:t>
      </w:r>
      <w:r w:rsidR="00A9508A" w:rsidRPr="00A74928">
        <w:rPr>
          <w:rFonts w:asciiTheme="minorHAnsi" w:hAnsiTheme="minorHAnsi"/>
          <w:b/>
          <w:szCs w:val="22"/>
        </w:rPr>
        <w:t xml:space="preserve"> recensement des transactions économiques e</w:t>
      </w:r>
      <w:r w:rsidR="00453900" w:rsidRPr="00A74928">
        <w:rPr>
          <w:rFonts w:asciiTheme="minorHAnsi" w:hAnsiTheme="minorHAnsi"/>
          <w:b/>
          <w:szCs w:val="22"/>
        </w:rPr>
        <w:t>n bal</w:t>
      </w:r>
      <w:r w:rsidR="00A9508A" w:rsidRPr="00A74928">
        <w:rPr>
          <w:rFonts w:asciiTheme="minorHAnsi" w:hAnsiTheme="minorHAnsi"/>
          <w:b/>
          <w:szCs w:val="22"/>
        </w:rPr>
        <w:t>ance des paiements</w:t>
      </w:r>
      <w:r w:rsidR="00453900" w:rsidRPr="00A74928">
        <w:rPr>
          <w:rFonts w:asciiTheme="minorHAnsi" w:hAnsiTheme="minorHAnsi"/>
          <w:b/>
          <w:szCs w:val="22"/>
        </w:rPr>
        <w:t>.</w:t>
      </w:r>
    </w:p>
    <w:p w:rsidR="00934DA2" w:rsidRPr="00A74928" w:rsidRDefault="00934DA2" w:rsidP="000D40AD">
      <w:pPr>
        <w:rPr>
          <w:rFonts w:asciiTheme="minorHAnsi" w:hAnsiTheme="minorHAnsi"/>
          <w:szCs w:val="22"/>
        </w:rPr>
      </w:pPr>
    </w:p>
    <w:p w:rsidR="0040457A" w:rsidRPr="00A74928" w:rsidRDefault="00690544" w:rsidP="000D40AD">
      <w:pPr>
        <w:rPr>
          <w:rFonts w:asciiTheme="minorHAnsi" w:hAnsiTheme="minorHAnsi"/>
          <w:szCs w:val="22"/>
        </w:rPr>
      </w:pPr>
      <w:r w:rsidRPr="00A74928">
        <w:rPr>
          <w:rFonts w:asciiTheme="minorHAnsi" w:hAnsiTheme="minorHAnsi"/>
          <w:szCs w:val="22"/>
        </w:rPr>
        <w:t>La période de rattachement de l’</w:t>
      </w:r>
      <w:r w:rsidR="000D40AD" w:rsidRPr="00A74928">
        <w:rPr>
          <w:rFonts w:asciiTheme="minorHAnsi" w:hAnsiTheme="minorHAnsi"/>
          <w:szCs w:val="22"/>
        </w:rPr>
        <w:t xml:space="preserve">opération </w:t>
      </w:r>
      <w:r w:rsidR="002259BD" w:rsidRPr="00A74928">
        <w:rPr>
          <w:rFonts w:asciiTheme="minorHAnsi" w:hAnsiTheme="minorHAnsi"/>
          <w:szCs w:val="22"/>
        </w:rPr>
        <w:t>doit être celle</w:t>
      </w:r>
      <w:r w:rsidR="000C3C9B" w:rsidRPr="00A74928">
        <w:rPr>
          <w:rFonts w:asciiTheme="minorHAnsi" w:hAnsiTheme="minorHAnsi"/>
          <w:szCs w:val="22"/>
        </w:rPr>
        <w:t xml:space="preserve"> de l’enregistrement des faits générateurs (</w:t>
      </w:r>
      <w:r w:rsidR="00E132F4" w:rsidRPr="00A74928">
        <w:rPr>
          <w:rFonts w:asciiTheme="minorHAnsi" w:hAnsiTheme="minorHAnsi"/>
          <w:szCs w:val="22"/>
        </w:rPr>
        <w:t>sur la base des</w:t>
      </w:r>
      <w:r w:rsidR="000C3C9B" w:rsidRPr="00A74928">
        <w:rPr>
          <w:rFonts w:asciiTheme="minorHAnsi" w:hAnsiTheme="minorHAnsi"/>
          <w:szCs w:val="22"/>
        </w:rPr>
        <w:t xml:space="preserve"> </w:t>
      </w:r>
      <w:r w:rsidRPr="00A74928">
        <w:rPr>
          <w:rFonts w:asciiTheme="minorHAnsi" w:hAnsiTheme="minorHAnsi"/>
          <w:szCs w:val="22"/>
        </w:rPr>
        <w:t>« droits constatés »</w:t>
      </w:r>
      <w:r w:rsidR="00AC70D0" w:rsidRPr="00A74928">
        <w:rPr>
          <w:rFonts w:asciiTheme="minorHAnsi" w:hAnsiTheme="minorHAnsi"/>
          <w:szCs w:val="22"/>
        </w:rPr>
        <w:t xml:space="preserve"> selon la terminologie du FMI</w:t>
      </w:r>
      <w:r w:rsidR="000C3C9B" w:rsidRPr="00A74928">
        <w:rPr>
          <w:rFonts w:asciiTheme="minorHAnsi" w:hAnsiTheme="minorHAnsi"/>
          <w:szCs w:val="22"/>
        </w:rPr>
        <w:t>)</w:t>
      </w:r>
      <w:r w:rsidR="000D40AD" w:rsidRPr="00A74928">
        <w:rPr>
          <w:rFonts w:asciiTheme="minorHAnsi" w:hAnsiTheme="minorHAnsi"/>
          <w:szCs w:val="22"/>
        </w:rPr>
        <w:t xml:space="preserve"> : </w:t>
      </w:r>
      <w:r w:rsidR="000C3C9B" w:rsidRPr="00A74928">
        <w:rPr>
          <w:rFonts w:asciiTheme="minorHAnsi" w:hAnsiTheme="minorHAnsi"/>
          <w:szCs w:val="22"/>
        </w:rPr>
        <w:t xml:space="preserve">soit lorsqu’une </w:t>
      </w:r>
      <w:r w:rsidRPr="00A74928">
        <w:rPr>
          <w:rFonts w:asciiTheme="minorHAnsi" w:hAnsiTheme="minorHAnsi"/>
          <w:szCs w:val="22"/>
        </w:rPr>
        <w:t>valeur</w:t>
      </w:r>
      <w:r w:rsidR="000D40AD" w:rsidRPr="00A74928">
        <w:rPr>
          <w:rFonts w:asciiTheme="minorHAnsi" w:hAnsiTheme="minorHAnsi"/>
          <w:szCs w:val="22"/>
        </w:rPr>
        <w:t xml:space="preserve"> </w:t>
      </w:r>
      <w:r w:rsidR="000C3C9B" w:rsidRPr="00A74928">
        <w:rPr>
          <w:rFonts w:asciiTheme="minorHAnsi" w:hAnsiTheme="minorHAnsi"/>
          <w:szCs w:val="22"/>
        </w:rPr>
        <w:t xml:space="preserve">est </w:t>
      </w:r>
      <w:r w:rsidR="00CF5816" w:rsidRPr="00A74928">
        <w:rPr>
          <w:rFonts w:asciiTheme="minorHAnsi" w:hAnsiTheme="minorHAnsi"/>
          <w:szCs w:val="22"/>
        </w:rPr>
        <w:t>produite</w:t>
      </w:r>
      <w:r w:rsidR="000D40AD" w:rsidRPr="00A74928">
        <w:rPr>
          <w:rFonts w:asciiTheme="minorHAnsi" w:hAnsiTheme="minorHAnsi"/>
          <w:szCs w:val="22"/>
        </w:rPr>
        <w:t xml:space="preserve">, </w:t>
      </w:r>
      <w:r w:rsidR="000C3C9B" w:rsidRPr="00A74928">
        <w:rPr>
          <w:rFonts w:asciiTheme="minorHAnsi" w:hAnsiTheme="minorHAnsi"/>
          <w:szCs w:val="22"/>
        </w:rPr>
        <w:t xml:space="preserve">transformée, </w:t>
      </w:r>
      <w:r w:rsidRPr="00A74928">
        <w:rPr>
          <w:rFonts w:asciiTheme="minorHAnsi" w:hAnsiTheme="minorHAnsi"/>
          <w:szCs w:val="22"/>
        </w:rPr>
        <w:t>échangée</w:t>
      </w:r>
      <w:r w:rsidR="000D40AD" w:rsidRPr="00A74928">
        <w:rPr>
          <w:rFonts w:asciiTheme="minorHAnsi" w:hAnsiTheme="minorHAnsi"/>
          <w:szCs w:val="22"/>
        </w:rPr>
        <w:t xml:space="preserve"> ou </w:t>
      </w:r>
      <w:r w:rsidRPr="00A74928">
        <w:rPr>
          <w:rFonts w:asciiTheme="minorHAnsi" w:hAnsiTheme="minorHAnsi"/>
          <w:szCs w:val="22"/>
        </w:rPr>
        <w:t>transférée</w:t>
      </w:r>
      <w:r w:rsidR="002259BD" w:rsidRPr="00A74928">
        <w:rPr>
          <w:rFonts w:asciiTheme="minorHAnsi" w:hAnsiTheme="minorHAnsi"/>
          <w:szCs w:val="22"/>
        </w:rPr>
        <w:t xml:space="preserve">. Elle doit correspondre à la date de </w:t>
      </w:r>
      <w:r w:rsidR="00ED0EE1" w:rsidRPr="00A74928">
        <w:rPr>
          <w:rFonts w:asciiTheme="minorHAnsi" w:hAnsiTheme="minorHAnsi"/>
          <w:szCs w:val="22"/>
        </w:rPr>
        <w:t xml:space="preserve">transfert de propriété pour le commerce de biens (négoce international), ou à la date de </w:t>
      </w:r>
      <w:r w:rsidR="002259BD" w:rsidRPr="00A74928">
        <w:rPr>
          <w:rFonts w:asciiTheme="minorHAnsi" w:hAnsiTheme="minorHAnsi"/>
          <w:szCs w:val="22"/>
        </w:rPr>
        <w:t xml:space="preserve">réalisation pour les </w:t>
      </w:r>
      <w:r w:rsidR="0041148E" w:rsidRPr="00A74928">
        <w:rPr>
          <w:rFonts w:asciiTheme="minorHAnsi" w:hAnsiTheme="minorHAnsi"/>
          <w:szCs w:val="22"/>
        </w:rPr>
        <w:t xml:space="preserve">prestations de </w:t>
      </w:r>
      <w:r w:rsidR="002259BD" w:rsidRPr="00A74928">
        <w:rPr>
          <w:rFonts w:asciiTheme="minorHAnsi" w:hAnsiTheme="minorHAnsi"/>
          <w:szCs w:val="22"/>
        </w:rPr>
        <w:t>services</w:t>
      </w:r>
      <w:r w:rsidR="0041148E" w:rsidRPr="00A74928">
        <w:rPr>
          <w:rFonts w:asciiTheme="minorHAnsi" w:hAnsiTheme="minorHAnsi"/>
          <w:szCs w:val="22"/>
        </w:rPr>
        <w:t xml:space="preserve"> fournies ou reçues par l’entreprise</w:t>
      </w:r>
      <w:r w:rsidR="00131BE5" w:rsidRPr="00A74928">
        <w:rPr>
          <w:rFonts w:asciiTheme="minorHAnsi" w:hAnsiTheme="minorHAnsi"/>
          <w:szCs w:val="22"/>
        </w:rPr>
        <w:t>,</w:t>
      </w:r>
      <w:r w:rsidR="002259BD" w:rsidRPr="00A74928">
        <w:rPr>
          <w:rFonts w:asciiTheme="minorHAnsi" w:hAnsiTheme="minorHAnsi"/>
          <w:szCs w:val="22"/>
        </w:rPr>
        <w:t xml:space="preserve"> laquelle coïncide de manière générale avec l</w:t>
      </w:r>
      <w:r w:rsidR="0041148E" w:rsidRPr="00A74928">
        <w:rPr>
          <w:rFonts w:asciiTheme="minorHAnsi" w:hAnsiTheme="minorHAnsi"/>
          <w:szCs w:val="22"/>
        </w:rPr>
        <w:t>eur date de production</w:t>
      </w:r>
      <w:r w:rsidR="00E132F4" w:rsidRPr="00A74928">
        <w:rPr>
          <w:rStyle w:val="Appelnotedebasdep"/>
          <w:rFonts w:asciiTheme="minorHAnsi" w:hAnsiTheme="minorHAnsi"/>
          <w:szCs w:val="22"/>
        </w:rPr>
        <w:footnoteReference w:id="3"/>
      </w:r>
      <w:r w:rsidR="0041148E" w:rsidRPr="00A74928">
        <w:rPr>
          <w:rFonts w:asciiTheme="minorHAnsi" w:hAnsiTheme="minorHAnsi"/>
          <w:szCs w:val="22"/>
        </w:rPr>
        <w:t>.</w:t>
      </w:r>
    </w:p>
    <w:p w:rsidR="002259BD" w:rsidRPr="00A74928" w:rsidRDefault="002259BD" w:rsidP="000D40AD">
      <w:pPr>
        <w:rPr>
          <w:rFonts w:asciiTheme="minorHAnsi" w:hAnsiTheme="minorHAnsi"/>
          <w:szCs w:val="22"/>
        </w:rPr>
      </w:pPr>
    </w:p>
    <w:p w:rsidR="000D40AD" w:rsidRPr="00A74928" w:rsidRDefault="000D40AD" w:rsidP="000D40AD">
      <w:pPr>
        <w:rPr>
          <w:rFonts w:asciiTheme="minorHAnsi" w:hAnsiTheme="minorHAnsi"/>
          <w:szCs w:val="22"/>
        </w:rPr>
      </w:pPr>
      <w:r w:rsidRPr="00A74928">
        <w:rPr>
          <w:rFonts w:asciiTheme="minorHAnsi" w:hAnsiTheme="minorHAnsi"/>
          <w:szCs w:val="22"/>
        </w:rPr>
        <w:t xml:space="preserve">En </w:t>
      </w:r>
      <w:r w:rsidR="00A9508A" w:rsidRPr="00A74928">
        <w:rPr>
          <w:rFonts w:asciiTheme="minorHAnsi" w:hAnsiTheme="minorHAnsi"/>
          <w:szCs w:val="22"/>
        </w:rPr>
        <w:t>pratique</w:t>
      </w:r>
      <w:r w:rsidRPr="00A74928">
        <w:rPr>
          <w:rFonts w:asciiTheme="minorHAnsi" w:hAnsiTheme="minorHAnsi"/>
          <w:szCs w:val="22"/>
        </w:rPr>
        <w:t xml:space="preserve"> la période de</w:t>
      </w:r>
      <w:r w:rsidR="00A9508A" w:rsidRPr="00A74928">
        <w:rPr>
          <w:rFonts w:asciiTheme="minorHAnsi" w:hAnsiTheme="minorHAnsi"/>
          <w:szCs w:val="22"/>
        </w:rPr>
        <w:t xml:space="preserve"> référence d’une transaction </w:t>
      </w:r>
      <w:r w:rsidR="00D947AD" w:rsidRPr="00A74928">
        <w:rPr>
          <w:rFonts w:asciiTheme="minorHAnsi" w:hAnsiTheme="minorHAnsi"/>
          <w:szCs w:val="22"/>
        </w:rPr>
        <w:t xml:space="preserve">peut être assimilée à </w:t>
      </w:r>
      <w:r w:rsidRPr="00A74928">
        <w:rPr>
          <w:rFonts w:asciiTheme="minorHAnsi" w:hAnsiTheme="minorHAnsi"/>
          <w:szCs w:val="22"/>
        </w:rPr>
        <w:t>son en</w:t>
      </w:r>
      <w:r w:rsidR="00A9508A" w:rsidRPr="00A74928">
        <w:rPr>
          <w:rFonts w:asciiTheme="minorHAnsi" w:hAnsiTheme="minorHAnsi"/>
          <w:szCs w:val="22"/>
        </w:rPr>
        <w:t>registrement</w:t>
      </w:r>
      <w:r w:rsidRPr="00A74928">
        <w:rPr>
          <w:rFonts w:asciiTheme="minorHAnsi" w:hAnsiTheme="minorHAnsi"/>
          <w:szCs w:val="22"/>
        </w:rPr>
        <w:t xml:space="preserve"> en comptabilité au vu de</w:t>
      </w:r>
      <w:r w:rsidR="00690544" w:rsidRPr="00A74928">
        <w:rPr>
          <w:rFonts w:asciiTheme="minorHAnsi" w:hAnsiTheme="minorHAnsi"/>
          <w:szCs w:val="22"/>
        </w:rPr>
        <w:t>s factures ou plus généralement à une date conforme aux règles d’enregistrement en comptabilité</w:t>
      </w:r>
      <w:r w:rsidRPr="00A74928">
        <w:rPr>
          <w:rFonts w:asciiTheme="minorHAnsi" w:hAnsiTheme="minorHAnsi"/>
          <w:szCs w:val="22"/>
        </w:rPr>
        <w:t>. Les don</w:t>
      </w:r>
      <w:r w:rsidR="00690544" w:rsidRPr="00A74928">
        <w:rPr>
          <w:rFonts w:asciiTheme="minorHAnsi" w:hAnsiTheme="minorHAnsi"/>
          <w:szCs w:val="22"/>
        </w:rPr>
        <w:t xml:space="preserve">nées mobilisables par les services « comptabilité » sont donc plus adaptées que celles des services « trésorerie », auxquelles il ne peut </w:t>
      </w:r>
      <w:r w:rsidR="00A402D8" w:rsidRPr="00A74928">
        <w:rPr>
          <w:rFonts w:asciiTheme="minorHAnsi" w:hAnsiTheme="minorHAnsi"/>
          <w:szCs w:val="22"/>
        </w:rPr>
        <w:t>être recouru</w:t>
      </w:r>
      <w:r w:rsidR="00690544" w:rsidRPr="00A74928">
        <w:rPr>
          <w:rFonts w:asciiTheme="minorHAnsi" w:hAnsiTheme="minorHAnsi"/>
          <w:szCs w:val="22"/>
        </w:rPr>
        <w:t xml:space="preserve"> que par défaut. </w:t>
      </w:r>
    </w:p>
    <w:p w:rsidR="008154DA" w:rsidRPr="00A74928" w:rsidRDefault="008154DA" w:rsidP="000D40AD">
      <w:pPr>
        <w:rPr>
          <w:rFonts w:asciiTheme="minorHAnsi" w:hAnsiTheme="minorHAnsi"/>
          <w:szCs w:val="22"/>
        </w:rPr>
      </w:pPr>
    </w:p>
    <w:p w:rsidR="00C9045F" w:rsidRPr="00A74928" w:rsidRDefault="00C9045F" w:rsidP="000D40AD">
      <w:pPr>
        <w:rPr>
          <w:rFonts w:asciiTheme="minorHAnsi" w:hAnsiTheme="minorHAnsi"/>
          <w:szCs w:val="22"/>
        </w:rPr>
      </w:pPr>
    </w:p>
    <w:p w:rsidR="000D40AD" w:rsidRPr="00A74928" w:rsidRDefault="008138A2" w:rsidP="000D40AD">
      <w:pPr>
        <w:rPr>
          <w:rFonts w:asciiTheme="minorHAnsi" w:hAnsiTheme="minorHAnsi" w:cs="Arial"/>
          <w:b/>
          <w:szCs w:val="22"/>
        </w:rPr>
      </w:pPr>
      <w:r w:rsidRPr="00A74928">
        <w:rPr>
          <w:rFonts w:asciiTheme="minorHAnsi" w:hAnsiTheme="minorHAnsi" w:cs="Arial"/>
          <w:b/>
          <w:szCs w:val="22"/>
        </w:rPr>
        <w:t>I</w:t>
      </w:r>
      <w:r w:rsidR="00A9508A" w:rsidRPr="00A74928">
        <w:rPr>
          <w:rFonts w:asciiTheme="minorHAnsi" w:hAnsiTheme="minorHAnsi" w:cs="Arial"/>
          <w:b/>
          <w:szCs w:val="22"/>
        </w:rPr>
        <w:t>dentification</w:t>
      </w:r>
      <w:r w:rsidR="000D40AD" w:rsidRPr="00A74928">
        <w:rPr>
          <w:rFonts w:asciiTheme="minorHAnsi" w:hAnsiTheme="minorHAnsi" w:cs="Arial"/>
          <w:b/>
          <w:szCs w:val="22"/>
        </w:rPr>
        <w:t xml:space="preserve"> de</w:t>
      </w:r>
      <w:r w:rsidR="00A9508A" w:rsidRPr="00A74928">
        <w:rPr>
          <w:rFonts w:asciiTheme="minorHAnsi" w:hAnsiTheme="minorHAnsi" w:cs="Arial"/>
          <w:b/>
          <w:szCs w:val="22"/>
        </w:rPr>
        <w:t>s</w:t>
      </w:r>
      <w:r w:rsidR="000D40AD" w:rsidRPr="00A74928">
        <w:rPr>
          <w:rFonts w:asciiTheme="minorHAnsi" w:hAnsiTheme="minorHAnsi" w:cs="Arial"/>
          <w:b/>
          <w:szCs w:val="22"/>
        </w:rPr>
        <w:t xml:space="preserve"> </w:t>
      </w:r>
      <w:r w:rsidR="00A9508A" w:rsidRPr="00A74928">
        <w:rPr>
          <w:rFonts w:asciiTheme="minorHAnsi" w:hAnsiTheme="minorHAnsi" w:cs="Arial"/>
          <w:b/>
          <w:szCs w:val="22"/>
        </w:rPr>
        <w:t>opérations</w:t>
      </w:r>
      <w:r w:rsidR="000D40AD" w:rsidRPr="00A74928">
        <w:rPr>
          <w:rFonts w:asciiTheme="minorHAnsi" w:hAnsiTheme="minorHAnsi" w:cs="Arial"/>
          <w:b/>
          <w:szCs w:val="22"/>
        </w:rPr>
        <w:t xml:space="preserve"> déclarables</w:t>
      </w:r>
    </w:p>
    <w:p w:rsidR="000D40AD" w:rsidRPr="00A74928" w:rsidRDefault="000D40AD" w:rsidP="000D40AD">
      <w:pPr>
        <w:rPr>
          <w:rFonts w:asciiTheme="minorHAnsi" w:hAnsiTheme="minorHAnsi"/>
          <w:szCs w:val="22"/>
        </w:rPr>
      </w:pPr>
    </w:p>
    <w:p w:rsidR="00A477FB" w:rsidRPr="00A74928" w:rsidRDefault="000D40AD" w:rsidP="000D40AD">
      <w:pPr>
        <w:rPr>
          <w:rFonts w:asciiTheme="minorHAnsi" w:hAnsiTheme="minorHAnsi"/>
          <w:b/>
          <w:szCs w:val="22"/>
        </w:rPr>
      </w:pPr>
      <w:r w:rsidRPr="00A74928">
        <w:rPr>
          <w:rFonts w:asciiTheme="minorHAnsi" w:hAnsiTheme="minorHAnsi"/>
          <w:b/>
          <w:szCs w:val="22"/>
        </w:rPr>
        <w:t>L</w:t>
      </w:r>
      <w:r w:rsidR="00A9508A" w:rsidRPr="00A74928">
        <w:rPr>
          <w:rFonts w:asciiTheme="minorHAnsi" w:hAnsiTheme="minorHAnsi"/>
          <w:b/>
          <w:szCs w:val="22"/>
        </w:rPr>
        <w:t>a déclaration doit être basée sur le système comptable de</w:t>
      </w:r>
      <w:r w:rsidRPr="00A74928">
        <w:rPr>
          <w:rFonts w:asciiTheme="minorHAnsi" w:hAnsiTheme="minorHAnsi"/>
          <w:b/>
          <w:szCs w:val="22"/>
        </w:rPr>
        <w:t xml:space="preserve"> l’entreprise (n</w:t>
      </w:r>
      <w:r w:rsidR="00A9508A" w:rsidRPr="00A74928">
        <w:rPr>
          <w:rFonts w:asciiTheme="minorHAnsi" w:hAnsiTheme="minorHAnsi"/>
          <w:b/>
          <w:szCs w:val="22"/>
        </w:rPr>
        <w:t>otamment fichiers clients et</w:t>
      </w:r>
      <w:r w:rsidRPr="00A74928">
        <w:rPr>
          <w:rFonts w:asciiTheme="minorHAnsi" w:hAnsiTheme="minorHAnsi"/>
          <w:b/>
          <w:szCs w:val="22"/>
        </w:rPr>
        <w:t xml:space="preserve"> </w:t>
      </w:r>
      <w:r w:rsidR="00A9508A" w:rsidRPr="00A74928">
        <w:rPr>
          <w:rFonts w:asciiTheme="minorHAnsi" w:hAnsiTheme="minorHAnsi"/>
          <w:b/>
          <w:szCs w:val="22"/>
        </w:rPr>
        <w:t>fournisseurs</w:t>
      </w:r>
      <w:r w:rsidRPr="00A74928">
        <w:rPr>
          <w:rFonts w:asciiTheme="minorHAnsi" w:hAnsiTheme="minorHAnsi"/>
          <w:b/>
          <w:szCs w:val="22"/>
        </w:rPr>
        <w:t xml:space="preserve"> pour les </w:t>
      </w:r>
      <w:r w:rsidR="00C96F52" w:rsidRPr="00A74928">
        <w:rPr>
          <w:rFonts w:asciiTheme="minorHAnsi" w:hAnsiTheme="minorHAnsi"/>
          <w:b/>
          <w:szCs w:val="22"/>
        </w:rPr>
        <w:t>opérations</w:t>
      </w:r>
      <w:r w:rsidR="00A9508A" w:rsidRPr="00A74928">
        <w:rPr>
          <w:rFonts w:asciiTheme="minorHAnsi" w:hAnsiTheme="minorHAnsi"/>
          <w:b/>
          <w:szCs w:val="22"/>
        </w:rPr>
        <w:t xml:space="preserve"> de nature commerciale)</w:t>
      </w:r>
      <w:r w:rsidR="00C96F52" w:rsidRPr="00A74928">
        <w:rPr>
          <w:rFonts w:asciiTheme="minorHAnsi" w:hAnsiTheme="minorHAnsi"/>
          <w:b/>
          <w:szCs w:val="22"/>
        </w:rPr>
        <w:t>, qu’il convient de paramétrer selon les besoins de classification économique des transactions</w:t>
      </w:r>
      <w:r w:rsidR="00EA080E" w:rsidRPr="00A74928">
        <w:rPr>
          <w:rFonts w:asciiTheme="minorHAnsi" w:hAnsiTheme="minorHAnsi"/>
          <w:b/>
          <w:szCs w:val="22"/>
        </w:rPr>
        <w:t xml:space="preserve"> à déclarer (</w:t>
      </w:r>
      <w:r w:rsidR="007D691C" w:rsidRPr="00A74928">
        <w:rPr>
          <w:rFonts w:asciiTheme="minorHAnsi" w:hAnsiTheme="minorHAnsi"/>
          <w:b/>
          <w:szCs w:val="22"/>
        </w:rPr>
        <w:t>cf.</w:t>
      </w:r>
      <w:r w:rsidR="00EA080E" w:rsidRPr="00A74928">
        <w:rPr>
          <w:rFonts w:asciiTheme="minorHAnsi" w:hAnsiTheme="minorHAnsi"/>
          <w:b/>
          <w:szCs w:val="22"/>
        </w:rPr>
        <w:t xml:space="preserve"> nomenclature).</w:t>
      </w:r>
    </w:p>
    <w:p w:rsidR="00934DA2" w:rsidRPr="00A74928" w:rsidRDefault="00934DA2" w:rsidP="000D40AD">
      <w:pPr>
        <w:rPr>
          <w:rFonts w:asciiTheme="minorHAnsi" w:hAnsiTheme="minorHAnsi"/>
          <w:szCs w:val="22"/>
        </w:rPr>
      </w:pPr>
    </w:p>
    <w:p w:rsidR="0040457A" w:rsidRPr="00A74928" w:rsidRDefault="00A9508A" w:rsidP="000D40AD">
      <w:pPr>
        <w:rPr>
          <w:rFonts w:asciiTheme="minorHAnsi" w:hAnsiTheme="minorHAnsi"/>
          <w:szCs w:val="22"/>
        </w:rPr>
      </w:pPr>
      <w:r w:rsidRPr="00A74928">
        <w:rPr>
          <w:rFonts w:asciiTheme="minorHAnsi" w:hAnsiTheme="minorHAnsi"/>
          <w:szCs w:val="22"/>
        </w:rPr>
        <w:t xml:space="preserve">Elle doit pouvoir s’appuyer au besoin sur </w:t>
      </w:r>
      <w:r w:rsidR="00690544" w:rsidRPr="00A74928">
        <w:rPr>
          <w:rFonts w:asciiTheme="minorHAnsi" w:hAnsiTheme="minorHAnsi"/>
          <w:szCs w:val="22"/>
        </w:rPr>
        <w:t xml:space="preserve">la fourniture de </w:t>
      </w:r>
      <w:r w:rsidRPr="00A74928">
        <w:rPr>
          <w:rFonts w:asciiTheme="minorHAnsi" w:hAnsiTheme="minorHAnsi"/>
          <w:szCs w:val="22"/>
        </w:rPr>
        <w:t>tout</w:t>
      </w:r>
      <w:r w:rsidR="00690544" w:rsidRPr="00A74928">
        <w:rPr>
          <w:rFonts w:asciiTheme="minorHAnsi" w:hAnsiTheme="minorHAnsi"/>
          <w:szCs w:val="22"/>
        </w:rPr>
        <w:t>e pièce d’information</w:t>
      </w:r>
      <w:r w:rsidRPr="00A74928">
        <w:rPr>
          <w:rFonts w:asciiTheme="minorHAnsi" w:hAnsiTheme="minorHAnsi"/>
          <w:szCs w:val="22"/>
        </w:rPr>
        <w:t xml:space="preserve"> </w:t>
      </w:r>
      <w:r w:rsidR="00B1030D" w:rsidRPr="00A74928">
        <w:rPr>
          <w:rFonts w:asciiTheme="minorHAnsi" w:hAnsiTheme="minorHAnsi"/>
          <w:szCs w:val="22"/>
        </w:rPr>
        <w:t xml:space="preserve">complémentaire </w:t>
      </w:r>
      <w:r w:rsidRPr="00A74928">
        <w:rPr>
          <w:rFonts w:asciiTheme="minorHAnsi" w:hAnsiTheme="minorHAnsi"/>
          <w:szCs w:val="22"/>
        </w:rPr>
        <w:t xml:space="preserve">nécessaire à la </w:t>
      </w:r>
      <w:r w:rsidR="00B1030D" w:rsidRPr="00A74928">
        <w:rPr>
          <w:rFonts w:asciiTheme="minorHAnsi" w:hAnsiTheme="minorHAnsi"/>
          <w:szCs w:val="22"/>
        </w:rPr>
        <w:t xml:space="preserve">bonne </w:t>
      </w:r>
      <w:r w:rsidRPr="00A74928">
        <w:rPr>
          <w:rFonts w:asciiTheme="minorHAnsi" w:hAnsiTheme="minorHAnsi"/>
          <w:szCs w:val="22"/>
        </w:rPr>
        <w:t>compréhension des opérations par les services de la Banque de France</w:t>
      </w:r>
      <w:r w:rsidR="00934DA2" w:rsidRPr="00A74928">
        <w:rPr>
          <w:rFonts w:asciiTheme="minorHAnsi" w:hAnsiTheme="minorHAnsi"/>
          <w:szCs w:val="22"/>
        </w:rPr>
        <w:t xml:space="preserve"> </w:t>
      </w:r>
      <w:r w:rsidR="00690544" w:rsidRPr="00A74928">
        <w:rPr>
          <w:rFonts w:asciiTheme="minorHAnsi" w:hAnsiTheme="minorHAnsi"/>
          <w:szCs w:val="22"/>
        </w:rPr>
        <w:t xml:space="preserve">et à leur validation </w:t>
      </w:r>
      <w:r w:rsidR="000D40AD" w:rsidRPr="00A74928">
        <w:rPr>
          <w:rFonts w:asciiTheme="minorHAnsi" w:hAnsiTheme="minorHAnsi"/>
          <w:szCs w:val="22"/>
        </w:rPr>
        <w:t>(pour le</w:t>
      </w:r>
      <w:r w:rsidRPr="00A74928">
        <w:rPr>
          <w:rFonts w:asciiTheme="minorHAnsi" w:hAnsiTheme="minorHAnsi"/>
          <w:szCs w:val="22"/>
        </w:rPr>
        <w:t>s investissements directs</w:t>
      </w:r>
      <w:r w:rsidR="006C608C" w:rsidRPr="00A74928">
        <w:rPr>
          <w:rFonts w:asciiTheme="minorHAnsi" w:hAnsiTheme="minorHAnsi"/>
          <w:szCs w:val="22"/>
        </w:rPr>
        <w:t xml:space="preserve"> : </w:t>
      </w:r>
      <w:r w:rsidR="000D40AD" w:rsidRPr="00A74928">
        <w:rPr>
          <w:rFonts w:asciiTheme="minorHAnsi" w:hAnsiTheme="minorHAnsi"/>
          <w:szCs w:val="22"/>
        </w:rPr>
        <w:t>voi</w:t>
      </w:r>
      <w:r w:rsidR="00D61BA4" w:rsidRPr="00A74928">
        <w:rPr>
          <w:rFonts w:asciiTheme="minorHAnsi" w:hAnsiTheme="minorHAnsi"/>
          <w:szCs w:val="22"/>
        </w:rPr>
        <w:t>r</w:t>
      </w:r>
      <w:r w:rsidR="000D40AD" w:rsidRPr="00A74928">
        <w:rPr>
          <w:rFonts w:asciiTheme="minorHAnsi" w:hAnsiTheme="minorHAnsi"/>
          <w:szCs w:val="22"/>
        </w:rPr>
        <w:t xml:space="preserve"> </w:t>
      </w:r>
      <w:r w:rsidRPr="00A74928">
        <w:rPr>
          <w:rFonts w:asciiTheme="minorHAnsi" w:hAnsiTheme="minorHAnsi"/>
          <w:szCs w:val="22"/>
        </w:rPr>
        <w:t>les diligences particulières à suivre au paragraphe</w:t>
      </w:r>
      <w:r w:rsidR="00D61BA4" w:rsidRPr="00A74928">
        <w:rPr>
          <w:rFonts w:asciiTheme="minorHAnsi" w:hAnsiTheme="minorHAnsi"/>
          <w:szCs w:val="22"/>
        </w:rPr>
        <w:t xml:space="preserve"> 4</w:t>
      </w:r>
      <w:r w:rsidR="000D40AD" w:rsidRPr="00A74928">
        <w:rPr>
          <w:rFonts w:asciiTheme="minorHAnsi" w:hAnsiTheme="minorHAnsi"/>
          <w:szCs w:val="22"/>
        </w:rPr>
        <w:t>).</w:t>
      </w:r>
    </w:p>
    <w:p w:rsidR="0040457A" w:rsidRPr="00A74928" w:rsidRDefault="0040457A" w:rsidP="000D40AD">
      <w:pPr>
        <w:rPr>
          <w:rFonts w:asciiTheme="minorHAnsi" w:hAnsiTheme="minorHAnsi"/>
          <w:szCs w:val="22"/>
        </w:rPr>
      </w:pPr>
    </w:p>
    <w:p w:rsidR="000D40AD" w:rsidRPr="00A74928" w:rsidRDefault="00B1030D" w:rsidP="000D40AD">
      <w:pPr>
        <w:rPr>
          <w:rFonts w:asciiTheme="minorHAnsi" w:hAnsiTheme="minorHAnsi"/>
          <w:szCs w:val="22"/>
        </w:rPr>
      </w:pPr>
      <w:r w:rsidRPr="00A74928">
        <w:rPr>
          <w:rFonts w:asciiTheme="minorHAnsi" w:hAnsiTheme="minorHAnsi"/>
          <w:szCs w:val="22"/>
        </w:rPr>
        <w:t>Parmi les</w:t>
      </w:r>
      <w:r w:rsidR="000D40AD" w:rsidRPr="00A74928">
        <w:rPr>
          <w:rFonts w:asciiTheme="minorHAnsi" w:hAnsiTheme="minorHAnsi"/>
          <w:szCs w:val="22"/>
        </w:rPr>
        <w:t xml:space="preserve"> enregistrements (</w:t>
      </w:r>
      <w:r w:rsidRPr="00A74928">
        <w:rPr>
          <w:rFonts w:asciiTheme="minorHAnsi" w:hAnsiTheme="minorHAnsi"/>
          <w:szCs w:val="22"/>
        </w:rPr>
        <w:t>comptes</w:t>
      </w:r>
      <w:r w:rsidR="000D40AD" w:rsidRPr="00A74928">
        <w:rPr>
          <w:rFonts w:asciiTheme="minorHAnsi" w:hAnsiTheme="minorHAnsi"/>
          <w:szCs w:val="22"/>
        </w:rPr>
        <w:t xml:space="preserve">, </w:t>
      </w:r>
      <w:r w:rsidRPr="00A74928">
        <w:rPr>
          <w:rFonts w:asciiTheme="minorHAnsi" w:hAnsiTheme="minorHAnsi"/>
          <w:szCs w:val="22"/>
        </w:rPr>
        <w:t>subdivisions</w:t>
      </w:r>
      <w:r w:rsidR="000D40AD" w:rsidRPr="00A74928">
        <w:rPr>
          <w:rFonts w:asciiTheme="minorHAnsi" w:hAnsiTheme="minorHAnsi"/>
          <w:szCs w:val="22"/>
        </w:rPr>
        <w:t xml:space="preserve"> et </w:t>
      </w:r>
      <w:r w:rsidRPr="00A74928">
        <w:rPr>
          <w:rFonts w:asciiTheme="minorHAnsi" w:hAnsiTheme="minorHAnsi"/>
          <w:szCs w:val="22"/>
        </w:rPr>
        <w:t>e</w:t>
      </w:r>
      <w:r w:rsidR="006E108A" w:rsidRPr="00A74928">
        <w:rPr>
          <w:rFonts w:asciiTheme="minorHAnsi" w:hAnsiTheme="minorHAnsi"/>
          <w:szCs w:val="22"/>
        </w:rPr>
        <w:t>x</w:t>
      </w:r>
      <w:r w:rsidRPr="00A74928">
        <w:rPr>
          <w:rFonts w:asciiTheme="minorHAnsi" w:hAnsiTheme="minorHAnsi"/>
          <w:szCs w:val="22"/>
        </w:rPr>
        <w:t>traits</w:t>
      </w:r>
      <w:r w:rsidR="000D40AD" w:rsidRPr="00A74928">
        <w:rPr>
          <w:rFonts w:asciiTheme="minorHAnsi" w:hAnsiTheme="minorHAnsi"/>
          <w:szCs w:val="22"/>
        </w:rPr>
        <w:t xml:space="preserve">), il convient de détecter les </w:t>
      </w:r>
      <w:r w:rsidRPr="00A74928">
        <w:rPr>
          <w:rFonts w:asciiTheme="minorHAnsi" w:hAnsiTheme="minorHAnsi"/>
          <w:szCs w:val="22"/>
        </w:rPr>
        <w:t>opérations réalisées avec des non</w:t>
      </w:r>
      <w:r w:rsidR="00BD620A" w:rsidRPr="00A74928">
        <w:rPr>
          <w:rFonts w:asciiTheme="minorHAnsi" w:hAnsiTheme="minorHAnsi"/>
          <w:szCs w:val="22"/>
        </w:rPr>
        <w:t>-</w:t>
      </w:r>
      <w:r w:rsidRPr="00A74928">
        <w:rPr>
          <w:rFonts w:asciiTheme="minorHAnsi" w:hAnsiTheme="minorHAnsi"/>
          <w:szCs w:val="22"/>
        </w:rPr>
        <w:t>résidents, que cette</w:t>
      </w:r>
      <w:r w:rsidR="000D40AD" w:rsidRPr="00A74928">
        <w:rPr>
          <w:rFonts w:asciiTheme="minorHAnsi" w:hAnsiTheme="minorHAnsi"/>
          <w:szCs w:val="22"/>
        </w:rPr>
        <w:t xml:space="preserve"> identification p</w:t>
      </w:r>
      <w:r w:rsidRPr="00A74928">
        <w:rPr>
          <w:rFonts w:asciiTheme="minorHAnsi" w:hAnsiTheme="minorHAnsi"/>
          <w:szCs w:val="22"/>
        </w:rPr>
        <w:t>uis</w:t>
      </w:r>
      <w:r w:rsidR="006E108A" w:rsidRPr="00A74928">
        <w:rPr>
          <w:rFonts w:asciiTheme="minorHAnsi" w:hAnsiTheme="minorHAnsi"/>
          <w:szCs w:val="22"/>
        </w:rPr>
        <w:t>s</w:t>
      </w:r>
      <w:r w:rsidRPr="00A74928">
        <w:rPr>
          <w:rFonts w:asciiTheme="minorHAnsi" w:hAnsiTheme="minorHAnsi"/>
          <w:szCs w:val="22"/>
        </w:rPr>
        <w:t>e s’effectuer par un</w:t>
      </w:r>
      <w:r w:rsidR="000D40AD" w:rsidRPr="00A74928">
        <w:rPr>
          <w:rFonts w:asciiTheme="minorHAnsi" w:hAnsiTheme="minorHAnsi"/>
          <w:szCs w:val="22"/>
        </w:rPr>
        <w:t xml:space="preserve"> système d’</w:t>
      </w:r>
      <w:r w:rsidRPr="00A74928">
        <w:rPr>
          <w:rFonts w:asciiTheme="minorHAnsi" w:hAnsiTheme="minorHAnsi"/>
          <w:szCs w:val="22"/>
        </w:rPr>
        <w:t xml:space="preserve">attribut de résidence </w:t>
      </w:r>
      <w:r w:rsidR="006E108A" w:rsidRPr="00A74928">
        <w:rPr>
          <w:rFonts w:asciiTheme="minorHAnsi" w:hAnsiTheme="minorHAnsi"/>
          <w:szCs w:val="22"/>
        </w:rPr>
        <w:t xml:space="preserve">associé </w:t>
      </w:r>
      <w:r w:rsidRPr="00A74928">
        <w:rPr>
          <w:rFonts w:asciiTheme="minorHAnsi" w:hAnsiTheme="minorHAnsi"/>
          <w:szCs w:val="22"/>
        </w:rPr>
        <w:t xml:space="preserve">aux comptes, </w:t>
      </w:r>
      <w:r w:rsidR="006E108A" w:rsidRPr="00A74928">
        <w:rPr>
          <w:rFonts w:asciiTheme="minorHAnsi" w:hAnsiTheme="minorHAnsi"/>
          <w:szCs w:val="22"/>
        </w:rPr>
        <w:t>une recherche au niveau</w:t>
      </w:r>
      <w:r w:rsidR="000D40AD" w:rsidRPr="00A74928">
        <w:rPr>
          <w:rFonts w:asciiTheme="minorHAnsi" w:hAnsiTheme="minorHAnsi"/>
          <w:szCs w:val="22"/>
        </w:rPr>
        <w:t xml:space="preserve"> des écritures él</w:t>
      </w:r>
      <w:r w:rsidR="006E108A" w:rsidRPr="00A74928">
        <w:rPr>
          <w:rFonts w:asciiTheme="minorHAnsi" w:hAnsiTheme="minorHAnsi"/>
          <w:szCs w:val="22"/>
        </w:rPr>
        <w:t>é</w:t>
      </w:r>
      <w:r w:rsidR="000D40AD" w:rsidRPr="00A74928">
        <w:rPr>
          <w:rFonts w:asciiTheme="minorHAnsi" w:hAnsiTheme="minorHAnsi"/>
          <w:szCs w:val="22"/>
        </w:rPr>
        <w:t>mentaires (zone de</w:t>
      </w:r>
      <w:r w:rsidR="006E108A" w:rsidRPr="00A74928">
        <w:rPr>
          <w:rFonts w:asciiTheme="minorHAnsi" w:hAnsiTheme="minorHAnsi"/>
          <w:szCs w:val="22"/>
        </w:rPr>
        <w:t xml:space="preserve"> </w:t>
      </w:r>
      <w:r w:rsidR="000D40AD" w:rsidRPr="00A74928">
        <w:rPr>
          <w:rFonts w:asciiTheme="minorHAnsi" w:hAnsiTheme="minorHAnsi"/>
          <w:szCs w:val="22"/>
        </w:rPr>
        <w:t>résidence se</w:t>
      </w:r>
      <w:r w:rsidR="006E108A" w:rsidRPr="00A74928">
        <w:rPr>
          <w:rFonts w:asciiTheme="minorHAnsi" w:hAnsiTheme="minorHAnsi"/>
          <w:szCs w:val="22"/>
        </w:rPr>
        <w:t>rvie à l’enregistrement des factures par</w:t>
      </w:r>
      <w:r w:rsidR="000D40AD" w:rsidRPr="00A74928">
        <w:rPr>
          <w:rFonts w:asciiTheme="minorHAnsi" w:hAnsiTheme="minorHAnsi"/>
          <w:szCs w:val="22"/>
        </w:rPr>
        <w:t xml:space="preserve"> </w:t>
      </w:r>
      <w:r w:rsidR="006E108A" w:rsidRPr="00A74928">
        <w:rPr>
          <w:rFonts w:asciiTheme="minorHAnsi" w:hAnsiTheme="minorHAnsi"/>
          <w:szCs w:val="22"/>
        </w:rPr>
        <w:t>exemple</w:t>
      </w:r>
      <w:r w:rsidR="000D40AD" w:rsidRPr="00A74928">
        <w:rPr>
          <w:rFonts w:asciiTheme="minorHAnsi" w:hAnsiTheme="minorHAnsi"/>
          <w:szCs w:val="22"/>
        </w:rPr>
        <w:t xml:space="preserve">), ou </w:t>
      </w:r>
      <w:r w:rsidR="00360BC1" w:rsidRPr="00A74928">
        <w:rPr>
          <w:rFonts w:asciiTheme="minorHAnsi" w:hAnsiTheme="minorHAnsi"/>
          <w:szCs w:val="22"/>
        </w:rPr>
        <w:t xml:space="preserve">un </w:t>
      </w:r>
      <w:r w:rsidR="006E108A" w:rsidRPr="00A74928">
        <w:rPr>
          <w:rFonts w:asciiTheme="minorHAnsi" w:hAnsiTheme="minorHAnsi"/>
          <w:szCs w:val="22"/>
        </w:rPr>
        <w:t>recoupement</w:t>
      </w:r>
      <w:r w:rsidR="000D40AD" w:rsidRPr="00A74928">
        <w:rPr>
          <w:rFonts w:asciiTheme="minorHAnsi" w:hAnsiTheme="minorHAnsi"/>
          <w:szCs w:val="22"/>
        </w:rPr>
        <w:t xml:space="preserve"> avec le</w:t>
      </w:r>
      <w:r w:rsidR="006E108A" w:rsidRPr="00A74928">
        <w:rPr>
          <w:rFonts w:asciiTheme="minorHAnsi" w:hAnsiTheme="minorHAnsi"/>
          <w:szCs w:val="22"/>
        </w:rPr>
        <w:t>s</w:t>
      </w:r>
      <w:r w:rsidR="000D40AD" w:rsidRPr="00A74928">
        <w:rPr>
          <w:rFonts w:asciiTheme="minorHAnsi" w:hAnsiTheme="minorHAnsi"/>
          <w:szCs w:val="22"/>
        </w:rPr>
        <w:t xml:space="preserve"> </w:t>
      </w:r>
      <w:r w:rsidR="006E108A" w:rsidRPr="00A74928">
        <w:rPr>
          <w:rFonts w:asciiTheme="minorHAnsi" w:hAnsiTheme="minorHAnsi"/>
          <w:szCs w:val="22"/>
        </w:rPr>
        <w:t>compte</w:t>
      </w:r>
      <w:r w:rsidR="00BD620A" w:rsidRPr="00A74928">
        <w:rPr>
          <w:rFonts w:asciiTheme="minorHAnsi" w:hAnsiTheme="minorHAnsi"/>
          <w:szCs w:val="22"/>
        </w:rPr>
        <w:t>s</w:t>
      </w:r>
      <w:r w:rsidR="000D40AD" w:rsidRPr="00A74928">
        <w:rPr>
          <w:rFonts w:asciiTheme="minorHAnsi" w:hAnsiTheme="minorHAnsi"/>
          <w:szCs w:val="22"/>
        </w:rPr>
        <w:t xml:space="preserve"> d</w:t>
      </w:r>
      <w:r w:rsidR="006E108A" w:rsidRPr="00A74928">
        <w:rPr>
          <w:rFonts w:asciiTheme="minorHAnsi" w:hAnsiTheme="minorHAnsi"/>
          <w:szCs w:val="22"/>
        </w:rPr>
        <w:t>e tiers</w:t>
      </w:r>
      <w:r w:rsidR="000D40AD" w:rsidRPr="00A74928">
        <w:rPr>
          <w:rFonts w:asciiTheme="minorHAnsi" w:hAnsiTheme="minorHAnsi"/>
          <w:szCs w:val="22"/>
        </w:rPr>
        <w:t xml:space="preserve"> identifiés c</w:t>
      </w:r>
      <w:r w:rsidR="006E108A" w:rsidRPr="00A74928">
        <w:rPr>
          <w:rFonts w:asciiTheme="minorHAnsi" w:hAnsiTheme="minorHAnsi"/>
          <w:szCs w:val="22"/>
        </w:rPr>
        <w:t>omme non</w:t>
      </w:r>
      <w:r w:rsidR="00274896">
        <w:rPr>
          <w:rFonts w:asciiTheme="minorHAnsi" w:hAnsiTheme="minorHAnsi"/>
          <w:szCs w:val="22"/>
        </w:rPr>
        <w:t>-</w:t>
      </w:r>
      <w:r w:rsidR="006E108A" w:rsidRPr="00A74928">
        <w:rPr>
          <w:rFonts w:asciiTheme="minorHAnsi" w:hAnsiTheme="minorHAnsi"/>
          <w:szCs w:val="22"/>
        </w:rPr>
        <w:t>résidents</w:t>
      </w:r>
      <w:r w:rsidR="000D40AD" w:rsidRPr="00A74928">
        <w:rPr>
          <w:rFonts w:asciiTheme="minorHAnsi" w:hAnsiTheme="minorHAnsi"/>
          <w:szCs w:val="22"/>
        </w:rPr>
        <w:t xml:space="preserve">. Toutes les classes de </w:t>
      </w:r>
      <w:r w:rsidR="006E108A" w:rsidRPr="00A74928">
        <w:rPr>
          <w:rFonts w:asciiTheme="minorHAnsi" w:hAnsiTheme="minorHAnsi"/>
          <w:szCs w:val="22"/>
        </w:rPr>
        <w:t>comptes</w:t>
      </w:r>
      <w:r w:rsidR="000D40AD" w:rsidRPr="00A74928">
        <w:rPr>
          <w:rFonts w:asciiTheme="minorHAnsi" w:hAnsiTheme="minorHAnsi"/>
          <w:szCs w:val="22"/>
        </w:rPr>
        <w:t xml:space="preserve"> </w:t>
      </w:r>
      <w:r w:rsidR="006E108A" w:rsidRPr="00A74928">
        <w:rPr>
          <w:rFonts w:asciiTheme="minorHAnsi" w:hAnsiTheme="minorHAnsi"/>
          <w:szCs w:val="22"/>
        </w:rPr>
        <w:t xml:space="preserve">(produits et charges d’exploitation du compte de résultat pour les services, immobilisations au bilan pour les investissements directs), </w:t>
      </w:r>
      <w:r w:rsidR="000D40AD" w:rsidRPr="00A74928">
        <w:rPr>
          <w:rFonts w:asciiTheme="minorHAnsi" w:hAnsiTheme="minorHAnsi"/>
          <w:szCs w:val="22"/>
        </w:rPr>
        <w:t xml:space="preserve">sauf </w:t>
      </w:r>
      <w:r w:rsidR="006E108A" w:rsidRPr="00A74928">
        <w:rPr>
          <w:rFonts w:asciiTheme="minorHAnsi" w:hAnsiTheme="minorHAnsi"/>
          <w:szCs w:val="22"/>
        </w:rPr>
        <w:t xml:space="preserve">les postes </w:t>
      </w:r>
      <w:r w:rsidR="005135C2" w:rsidRPr="00A74928">
        <w:rPr>
          <w:rFonts w:asciiTheme="minorHAnsi" w:hAnsiTheme="minorHAnsi"/>
          <w:szCs w:val="22"/>
        </w:rPr>
        <w:t xml:space="preserve">comptables </w:t>
      </w:r>
      <w:r w:rsidR="006E108A" w:rsidRPr="00A74928">
        <w:rPr>
          <w:rFonts w:asciiTheme="minorHAnsi" w:hAnsiTheme="minorHAnsi"/>
          <w:szCs w:val="22"/>
        </w:rPr>
        <w:t xml:space="preserve">visés spécifiquement par </w:t>
      </w:r>
      <w:r w:rsidR="005135C2" w:rsidRPr="00A74928">
        <w:rPr>
          <w:rFonts w:asciiTheme="minorHAnsi" w:hAnsiTheme="minorHAnsi"/>
          <w:szCs w:val="22"/>
        </w:rPr>
        <w:t xml:space="preserve">les </w:t>
      </w:r>
      <w:r w:rsidR="000D40AD" w:rsidRPr="00A74928">
        <w:rPr>
          <w:rFonts w:asciiTheme="minorHAnsi" w:hAnsiTheme="minorHAnsi"/>
          <w:szCs w:val="22"/>
        </w:rPr>
        <w:t>d</w:t>
      </w:r>
      <w:r w:rsidR="006E108A" w:rsidRPr="00A74928">
        <w:rPr>
          <w:rFonts w:asciiTheme="minorHAnsi" w:hAnsiTheme="minorHAnsi"/>
          <w:szCs w:val="22"/>
        </w:rPr>
        <w:t>éclarations trimestrielles de créances et dettes commerciales et financières</w:t>
      </w:r>
      <w:r w:rsidR="000D40AD" w:rsidRPr="00A74928">
        <w:rPr>
          <w:rFonts w:asciiTheme="minorHAnsi" w:hAnsiTheme="minorHAnsi"/>
          <w:szCs w:val="22"/>
        </w:rPr>
        <w:t xml:space="preserve"> </w:t>
      </w:r>
      <w:r w:rsidR="006E108A" w:rsidRPr="00A74928">
        <w:rPr>
          <w:rFonts w:asciiTheme="minorHAnsi" w:hAnsiTheme="minorHAnsi"/>
          <w:szCs w:val="22"/>
        </w:rPr>
        <w:t xml:space="preserve">(états ECO et EFI) </w:t>
      </w:r>
      <w:r w:rsidR="000D40AD" w:rsidRPr="00A74928">
        <w:rPr>
          <w:rFonts w:asciiTheme="minorHAnsi" w:hAnsiTheme="minorHAnsi"/>
          <w:szCs w:val="22"/>
        </w:rPr>
        <w:t xml:space="preserve">rentrent </w:t>
      </w:r>
      <w:r w:rsidR="006E108A" w:rsidRPr="00A74928">
        <w:rPr>
          <w:rFonts w:asciiTheme="minorHAnsi" w:hAnsiTheme="minorHAnsi"/>
          <w:szCs w:val="22"/>
        </w:rPr>
        <w:t>potentiellement</w:t>
      </w:r>
      <w:r w:rsidR="000D40AD" w:rsidRPr="00A74928">
        <w:rPr>
          <w:rFonts w:asciiTheme="minorHAnsi" w:hAnsiTheme="minorHAnsi"/>
          <w:szCs w:val="22"/>
        </w:rPr>
        <w:t xml:space="preserve"> dans le champ </w:t>
      </w:r>
      <w:r w:rsidR="006E108A" w:rsidRPr="00A74928">
        <w:rPr>
          <w:rFonts w:asciiTheme="minorHAnsi" w:hAnsiTheme="minorHAnsi"/>
          <w:szCs w:val="22"/>
        </w:rPr>
        <w:t>couvert par la déclaration</w:t>
      </w:r>
      <w:r w:rsidR="000D40AD" w:rsidRPr="00A74928">
        <w:rPr>
          <w:rFonts w:asciiTheme="minorHAnsi" w:hAnsiTheme="minorHAnsi"/>
          <w:szCs w:val="22"/>
        </w:rPr>
        <w:t>.</w:t>
      </w:r>
    </w:p>
    <w:p w:rsidR="007506B0" w:rsidRDefault="007506B0" w:rsidP="007506B0">
      <w:pPr>
        <w:rPr>
          <w:szCs w:val="22"/>
        </w:rPr>
      </w:pPr>
    </w:p>
    <w:p w:rsidR="00A9508A" w:rsidRPr="006163D8" w:rsidRDefault="00C9045F" w:rsidP="007506B0">
      <w:pPr>
        <w:rPr>
          <w:sz w:val="6"/>
          <w:szCs w:val="6"/>
        </w:rPr>
      </w:pPr>
      <w:r>
        <w:rPr>
          <w:szCs w:val="22"/>
        </w:rPr>
        <w:br w:type="page"/>
      </w:r>
    </w:p>
    <w:p w:rsidR="007506B0" w:rsidRPr="004619BC" w:rsidRDefault="00762BC9" w:rsidP="001D68E8">
      <w:pPr>
        <w:numPr>
          <w:ilvl w:val="0"/>
          <w:numId w:val="16"/>
        </w:numPr>
        <w:shd w:val="clear" w:color="auto" w:fill="DBE5F1" w:themeFill="accent1" w:themeFillTint="33"/>
        <w:spacing w:after="120"/>
        <w:ind w:left="0" w:firstLine="0"/>
        <w:rPr>
          <w:rFonts w:ascii="Arial" w:hAnsi="Arial" w:cs="Arial"/>
          <w:b/>
          <w:caps/>
          <w:sz w:val="28"/>
          <w:szCs w:val="28"/>
        </w:rPr>
      </w:pPr>
      <w:r w:rsidRPr="004619BC">
        <w:rPr>
          <w:rFonts w:ascii="Arial" w:hAnsi="Arial" w:cs="Arial"/>
          <w:b/>
          <w:caps/>
          <w:sz w:val="28"/>
          <w:szCs w:val="28"/>
        </w:rPr>
        <w:lastRenderedPageBreak/>
        <w:t>Périmètre</w:t>
      </w:r>
      <w:r w:rsidR="007506B0" w:rsidRPr="004619BC">
        <w:rPr>
          <w:rFonts w:ascii="Arial" w:hAnsi="Arial" w:cs="Arial"/>
          <w:b/>
          <w:caps/>
          <w:sz w:val="28"/>
          <w:szCs w:val="28"/>
        </w:rPr>
        <w:t xml:space="preserve"> de la </w:t>
      </w:r>
      <w:r w:rsidRPr="004619BC">
        <w:rPr>
          <w:rFonts w:ascii="Arial" w:hAnsi="Arial" w:cs="Arial"/>
          <w:b/>
          <w:caps/>
          <w:sz w:val="28"/>
          <w:szCs w:val="28"/>
        </w:rPr>
        <w:t>déclaration</w:t>
      </w:r>
    </w:p>
    <w:p w:rsidR="007506B0" w:rsidRDefault="007506B0" w:rsidP="007506B0">
      <w:pPr>
        <w:rPr>
          <w:szCs w:val="22"/>
        </w:rPr>
      </w:pPr>
    </w:p>
    <w:p w:rsidR="0007116B" w:rsidRPr="00670B9D" w:rsidRDefault="00152426" w:rsidP="007506B0">
      <w:pPr>
        <w:rPr>
          <w:rFonts w:ascii="Arial" w:hAnsi="Arial" w:cs="Arial"/>
          <w:b/>
          <w:szCs w:val="22"/>
        </w:rPr>
      </w:pPr>
      <w:r w:rsidRPr="00670B9D">
        <w:rPr>
          <w:rFonts w:ascii="Arial" w:hAnsi="Arial" w:cs="Arial"/>
          <w:b/>
          <w:szCs w:val="22"/>
        </w:rPr>
        <w:t>Périmètre</w:t>
      </w:r>
      <w:r w:rsidR="0007116B" w:rsidRPr="00670B9D">
        <w:rPr>
          <w:rFonts w:ascii="Arial" w:hAnsi="Arial" w:cs="Arial"/>
          <w:b/>
          <w:szCs w:val="22"/>
        </w:rPr>
        <w:t xml:space="preserve"> d’</w:t>
      </w:r>
      <w:r w:rsidRPr="00670B9D">
        <w:rPr>
          <w:rFonts w:ascii="Arial" w:hAnsi="Arial" w:cs="Arial"/>
          <w:b/>
          <w:szCs w:val="22"/>
        </w:rPr>
        <w:t>ensemble</w:t>
      </w:r>
      <w:r w:rsidR="0007116B" w:rsidRPr="00670B9D">
        <w:rPr>
          <w:rFonts w:ascii="Arial" w:hAnsi="Arial" w:cs="Arial"/>
          <w:b/>
          <w:szCs w:val="22"/>
        </w:rPr>
        <w:t xml:space="preserve"> </w:t>
      </w:r>
    </w:p>
    <w:p w:rsidR="0007116B" w:rsidRDefault="0007116B" w:rsidP="007506B0">
      <w:pPr>
        <w:rPr>
          <w:szCs w:val="22"/>
        </w:rPr>
      </w:pPr>
    </w:p>
    <w:p w:rsidR="00934DA2" w:rsidRPr="00A74928" w:rsidRDefault="007506B0" w:rsidP="007506B0">
      <w:pPr>
        <w:rPr>
          <w:rFonts w:asciiTheme="minorHAnsi" w:hAnsiTheme="minorHAnsi"/>
          <w:szCs w:val="22"/>
        </w:rPr>
      </w:pPr>
      <w:r w:rsidRPr="00A74928">
        <w:rPr>
          <w:rFonts w:asciiTheme="minorHAnsi" w:hAnsiTheme="minorHAnsi"/>
          <w:szCs w:val="22"/>
        </w:rPr>
        <w:t>Le RTE s’a</w:t>
      </w:r>
      <w:r w:rsidR="00670B9D" w:rsidRPr="00A74928">
        <w:rPr>
          <w:rFonts w:asciiTheme="minorHAnsi" w:hAnsiTheme="minorHAnsi"/>
          <w:szCs w:val="22"/>
        </w:rPr>
        <w:t>pplique à tous les Déclarants Directs Généraux</w:t>
      </w:r>
      <w:r w:rsidR="007938A3" w:rsidRPr="00A74928">
        <w:rPr>
          <w:rFonts w:asciiTheme="minorHAnsi" w:hAnsiTheme="minorHAnsi"/>
          <w:szCs w:val="22"/>
        </w:rPr>
        <w:t>, quel</w:t>
      </w:r>
      <w:r w:rsidR="004A4B6C" w:rsidRPr="00A74928">
        <w:rPr>
          <w:rFonts w:asciiTheme="minorHAnsi" w:hAnsiTheme="minorHAnsi"/>
          <w:szCs w:val="22"/>
        </w:rPr>
        <w:t xml:space="preserve"> </w:t>
      </w:r>
      <w:r w:rsidR="007938A3" w:rsidRPr="00A74928">
        <w:rPr>
          <w:rFonts w:asciiTheme="minorHAnsi" w:hAnsiTheme="minorHAnsi"/>
          <w:szCs w:val="22"/>
        </w:rPr>
        <w:t xml:space="preserve">que soit leur </w:t>
      </w:r>
      <w:r w:rsidR="009245E9" w:rsidRPr="00A74928">
        <w:rPr>
          <w:rFonts w:asciiTheme="minorHAnsi" w:hAnsiTheme="minorHAnsi"/>
          <w:szCs w:val="22"/>
        </w:rPr>
        <w:t>s</w:t>
      </w:r>
      <w:r w:rsidR="007938A3" w:rsidRPr="00A74928">
        <w:rPr>
          <w:rFonts w:asciiTheme="minorHAnsi" w:hAnsiTheme="minorHAnsi"/>
          <w:szCs w:val="22"/>
        </w:rPr>
        <w:t xml:space="preserve">ecteur d’activité : </w:t>
      </w:r>
      <w:r w:rsidR="00D947AD" w:rsidRPr="00A74928">
        <w:rPr>
          <w:rFonts w:asciiTheme="minorHAnsi" w:hAnsiTheme="minorHAnsi"/>
          <w:szCs w:val="22"/>
        </w:rPr>
        <w:t xml:space="preserve">les </w:t>
      </w:r>
      <w:r w:rsidR="00670B9D" w:rsidRPr="00A74928">
        <w:rPr>
          <w:rFonts w:asciiTheme="minorHAnsi" w:hAnsiTheme="minorHAnsi"/>
          <w:szCs w:val="22"/>
        </w:rPr>
        <w:t xml:space="preserve">entreprises industrielles et commerciales, </w:t>
      </w:r>
      <w:r w:rsidRPr="00A74928">
        <w:rPr>
          <w:rFonts w:asciiTheme="minorHAnsi" w:hAnsiTheme="minorHAnsi"/>
          <w:szCs w:val="22"/>
        </w:rPr>
        <w:t>com</w:t>
      </w:r>
      <w:r w:rsidR="00670B9D" w:rsidRPr="00A74928">
        <w:rPr>
          <w:rFonts w:asciiTheme="minorHAnsi" w:hAnsiTheme="minorHAnsi"/>
          <w:szCs w:val="22"/>
        </w:rPr>
        <w:t>m</w:t>
      </w:r>
      <w:r w:rsidRPr="00A74928">
        <w:rPr>
          <w:rFonts w:asciiTheme="minorHAnsi" w:hAnsiTheme="minorHAnsi"/>
          <w:szCs w:val="22"/>
        </w:rPr>
        <w:t xml:space="preserve">e </w:t>
      </w:r>
      <w:r w:rsidR="00D947AD" w:rsidRPr="00A74928">
        <w:rPr>
          <w:rFonts w:asciiTheme="minorHAnsi" w:hAnsiTheme="minorHAnsi"/>
          <w:szCs w:val="22"/>
        </w:rPr>
        <w:t xml:space="preserve">les </w:t>
      </w:r>
      <w:r w:rsidR="00670B9D" w:rsidRPr="00A74928">
        <w:rPr>
          <w:rFonts w:asciiTheme="minorHAnsi" w:hAnsiTheme="minorHAnsi"/>
          <w:szCs w:val="22"/>
        </w:rPr>
        <w:t>sociétés</w:t>
      </w:r>
      <w:r w:rsidRPr="00A74928">
        <w:rPr>
          <w:rFonts w:asciiTheme="minorHAnsi" w:hAnsiTheme="minorHAnsi"/>
          <w:szCs w:val="22"/>
        </w:rPr>
        <w:t xml:space="preserve"> d’</w:t>
      </w:r>
      <w:r w:rsidR="00670B9D" w:rsidRPr="00A74928">
        <w:rPr>
          <w:rFonts w:asciiTheme="minorHAnsi" w:hAnsiTheme="minorHAnsi"/>
          <w:szCs w:val="22"/>
        </w:rPr>
        <w:t>assurance et de réassurance</w:t>
      </w:r>
      <w:r w:rsidRPr="00A74928">
        <w:rPr>
          <w:rFonts w:asciiTheme="minorHAnsi" w:hAnsiTheme="minorHAnsi"/>
          <w:szCs w:val="22"/>
        </w:rPr>
        <w:t xml:space="preserve">, </w:t>
      </w:r>
      <w:r w:rsidR="00D947AD" w:rsidRPr="00A74928">
        <w:rPr>
          <w:rFonts w:asciiTheme="minorHAnsi" w:hAnsiTheme="minorHAnsi"/>
          <w:szCs w:val="22"/>
        </w:rPr>
        <w:t xml:space="preserve">pour l’ensemble de leurs </w:t>
      </w:r>
      <w:r w:rsidR="00670B9D" w:rsidRPr="00A74928">
        <w:rPr>
          <w:rFonts w:asciiTheme="minorHAnsi" w:hAnsiTheme="minorHAnsi"/>
          <w:szCs w:val="22"/>
        </w:rPr>
        <w:t>relation</w:t>
      </w:r>
      <w:r w:rsidR="00D947AD" w:rsidRPr="00A74928">
        <w:rPr>
          <w:rFonts w:asciiTheme="minorHAnsi" w:hAnsiTheme="minorHAnsi"/>
          <w:szCs w:val="22"/>
        </w:rPr>
        <w:t>s</w:t>
      </w:r>
      <w:r w:rsidRPr="00A74928">
        <w:rPr>
          <w:rFonts w:asciiTheme="minorHAnsi" w:hAnsiTheme="minorHAnsi"/>
          <w:szCs w:val="22"/>
        </w:rPr>
        <w:t xml:space="preserve"> </w:t>
      </w:r>
      <w:r w:rsidR="00D947AD" w:rsidRPr="00A74928">
        <w:rPr>
          <w:rFonts w:asciiTheme="minorHAnsi" w:hAnsiTheme="minorHAnsi"/>
          <w:szCs w:val="22"/>
        </w:rPr>
        <w:t xml:space="preserve">économiques </w:t>
      </w:r>
      <w:r w:rsidRPr="00A74928">
        <w:rPr>
          <w:rFonts w:asciiTheme="minorHAnsi" w:hAnsiTheme="minorHAnsi"/>
          <w:szCs w:val="22"/>
        </w:rPr>
        <w:t>avec des non-</w:t>
      </w:r>
      <w:r w:rsidR="00670B9D" w:rsidRPr="00A74928">
        <w:rPr>
          <w:rFonts w:asciiTheme="minorHAnsi" w:hAnsiTheme="minorHAnsi"/>
          <w:szCs w:val="22"/>
        </w:rPr>
        <w:t>résidents</w:t>
      </w:r>
      <w:r w:rsidR="00994BAB" w:rsidRPr="00A74928">
        <w:rPr>
          <w:rStyle w:val="Appelnotedebasdep"/>
          <w:rFonts w:asciiTheme="minorHAnsi" w:hAnsiTheme="minorHAnsi"/>
          <w:szCs w:val="22"/>
        </w:rPr>
        <w:footnoteReference w:id="4"/>
      </w:r>
      <w:r w:rsidR="00670B9D" w:rsidRPr="00A74928">
        <w:rPr>
          <w:rFonts w:asciiTheme="minorHAnsi" w:hAnsiTheme="minorHAnsi"/>
          <w:szCs w:val="22"/>
        </w:rPr>
        <w:t>.</w:t>
      </w:r>
      <w:r w:rsidRPr="00A74928">
        <w:rPr>
          <w:rFonts w:asciiTheme="minorHAnsi" w:hAnsiTheme="minorHAnsi"/>
          <w:szCs w:val="22"/>
        </w:rPr>
        <w:t xml:space="preserve"> </w:t>
      </w:r>
      <w:r w:rsidR="00934DA2" w:rsidRPr="00A74928">
        <w:rPr>
          <w:rFonts w:asciiTheme="minorHAnsi" w:hAnsiTheme="minorHAnsi"/>
          <w:szCs w:val="22"/>
        </w:rPr>
        <w:t xml:space="preserve">Les </w:t>
      </w:r>
      <w:r w:rsidR="007938A3" w:rsidRPr="00A74928">
        <w:rPr>
          <w:rFonts w:asciiTheme="minorHAnsi" w:hAnsiTheme="minorHAnsi"/>
          <w:szCs w:val="22"/>
        </w:rPr>
        <w:t xml:space="preserve">assureurs et </w:t>
      </w:r>
      <w:r w:rsidR="00D947AD" w:rsidRPr="00A74928">
        <w:rPr>
          <w:rFonts w:asciiTheme="minorHAnsi" w:hAnsiTheme="minorHAnsi"/>
          <w:szCs w:val="22"/>
        </w:rPr>
        <w:t>les</w:t>
      </w:r>
      <w:r w:rsidR="007938A3" w:rsidRPr="00A74928">
        <w:rPr>
          <w:rFonts w:asciiTheme="minorHAnsi" w:hAnsiTheme="minorHAnsi"/>
          <w:szCs w:val="22"/>
        </w:rPr>
        <w:t xml:space="preserve"> réassureurs</w:t>
      </w:r>
      <w:r w:rsidR="00934DA2" w:rsidRPr="00A74928">
        <w:rPr>
          <w:rFonts w:asciiTheme="minorHAnsi" w:hAnsiTheme="minorHAnsi"/>
          <w:szCs w:val="22"/>
        </w:rPr>
        <w:t xml:space="preserve"> doivent </w:t>
      </w:r>
      <w:r w:rsidR="00670B9D" w:rsidRPr="00A74928">
        <w:rPr>
          <w:rFonts w:asciiTheme="minorHAnsi" w:hAnsiTheme="minorHAnsi"/>
          <w:szCs w:val="22"/>
        </w:rPr>
        <w:t>notamment utiliser</w:t>
      </w:r>
      <w:r w:rsidR="00934DA2" w:rsidRPr="00A74928">
        <w:rPr>
          <w:rFonts w:asciiTheme="minorHAnsi" w:hAnsiTheme="minorHAnsi"/>
          <w:szCs w:val="22"/>
        </w:rPr>
        <w:t xml:space="preserve"> ce suppor</w:t>
      </w:r>
      <w:r w:rsidR="00670B9D" w:rsidRPr="00A74928">
        <w:rPr>
          <w:rFonts w:asciiTheme="minorHAnsi" w:hAnsiTheme="minorHAnsi"/>
          <w:szCs w:val="22"/>
        </w:rPr>
        <w:t xml:space="preserve">t pour la déclaration </w:t>
      </w:r>
      <w:r w:rsidR="00E561A6" w:rsidRPr="00A74928">
        <w:rPr>
          <w:rFonts w:asciiTheme="minorHAnsi" w:hAnsiTheme="minorHAnsi"/>
          <w:szCs w:val="22"/>
        </w:rPr>
        <w:t xml:space="preserve">mensuelle </w:t>
      </w:r>
      <w:r w:rsidR="00670B9D" w:rsidRPr="00A74928">
        <w:rPr>
          <w:rFonts w:asciiTheme="minorHAnsi" w:hAnsiTheme="minorHAnsi"/>
          <w:szCs w:val="22"/>
        </w:rPr>
        <w:t xml:space="preserve">des primes </w:t>
      </w:r>
      <w:r w:rsidR="00E561A6" w:rsidRPr="00A74928">
        <w:rPr>
          <w:rFonts w:asciiTheme="minorHAnsi" w:hAnsiTheme="minorHAnsi"/>
          <w:szCs w:val="22"/>
        </w:rPr>
        <w:t xml:space="preserve">ou des indemnités </w:t>
      </w:r>
      <w:r w:rsidR="007938A3" w:rsidRPr="00A74928">
        <w:rPr>
          <w:rFonts w:asciiTheme="minorHAnsi" w:hAnsiTheme="minorHAnsi"/>
          <w:szCs w:val="22"/>
        </w:rPr>
        <w:t xml:space="preserve">qu’ils ont à recevoir </w:t>
      </w:r>
      <w:r w:rsidR="00E561A6" w:rsidRPr="00A74928">
        <w:rPr>
          <w:rFonts w:asciiTheme="minorHAnsi" w:hAnsiTheme="minorHAnsi"/>
          <w:szCs w:val="22"/>
        </w:rPr>
        <w:t xml:space="preserve">ou à payer avec l’étranger </w:t>
      </w:r>
      <w:r w:rsidR="009245E9" w:rsidRPr="00A74928">
        <w:rPr>
          <w:rFonts w:asciiTheme="minorHAnsi" w:hAnsiTheme="minorHAnsi"/>
          <w:szCs w:val="22"/>
        </w:rPr>
        <w:t xml:space="preserve">(sous la condition de l’application </w:t>
      </w:r>
      <w:r w:rsidR="004A4B6C" w:rsidRPr="00A74928">
        <w:rPr>
          <w:rFonts w:asciiTheme="minorHAnsi" w:hAnsiTheme="minorHAnsi"/>
          <w:szCs w:val="22"/>
        </w:rPr>
        <w:t xml:space="preserve">possible </w:t>
      </w:r>
      <w:r w:rsidR="009245E9" w:rsidRPr="00A74928">
        <w:rPr>
          <w:rFonts w:asciiTheme="minorHAnsi" w:hAnsiTheme="minorHAnsi"/>
          <w:szCs w:val="22"/>
        </w:rPr>
        <w:t>du principe des droits constatés)</w:t>
      </w:r>
      <w:r w:rsidR="007938A3" w:rsidRPr="00A74928">
        <w:rPr>
          <w:rFonts w:asciiTheme="minorHAnsi" w:hAnsiTheme="minorHAnsi"/>
          <w:szCs w:val="22"/>
        </w:rPr>
        <w:t>.</w:t>
      </w:r>
    </w:p>
    <w:p w:rsidR="00934DA2" w:rsidRPr="00A74928" w:rsidRDefault="00934DA2" w:rsidP="007506B0">
      <w:pPr>
        <w:rPr>
          <w:rFonts w:asciiTheme="minorHAnsi" w:hAnsiTheme="minorHAnsi"/>
          <w:szCs w:val="22"/>
        </w:rPr>
      </w:pPr>
    </w:p>
    <w:p w:rsidR="007506B0" w:rsidRPr="00A74928" w:rsidRDefault="007506B0" w:rsidP="007506B0">
      <w:pPr>
        <w:rPr>
          <w:rFonts w:asciiTheme="minorHAnsi" w:hAnsiTheme="minorHAnsi"/>
          <w:szCs w:val="22"/>
        </w:rPr>
      </w:pPr>
      <w:r w:rsidRPr="00A74928">
        <w:rPr>
          <w:rFonts w:asciiTheme="minorHAnsi" w:hAnsiTheme="minorHAnsi"/>
          <w:szCs w:val="22"/>
        </w:rPr>
        <w:t>Il n’</w:t>
      </w:r>
      <w:r w:rsidR="00C22D77" w:rsidRPr="00A74928">
        <w:rPr>
          <w:rFonts w:asciiTheme="minorHAnsi" w:hAnsiTheme="minorHAnsi"/>
          <w:szCs w:val="22"/>
        </w:rPr>
        <w:t>existe</w:t>
      </w:r>
      <w:r w:rsidRPr="00A74928">
        <w:rPr>
          <w:rFonts w:asciiTheme="minorHAnsi" w:hAnsiTheme="minorHAnsi"/>
          <w:szCs w:val="22"/>
        </w:rPr>
        <w:t xml:space="preserve"> </w:t>
      </w:r>
      <w:r w:rsidR="00C22D77" w:rsidRPr="00A74928">
        <w:rPr>
          <w:rFonts w:asciiTheme="minorHAnsi" w:hAnsiTheme="minorHAnsi"/>
          <w:szCs w:val="22"/>
        </w:rPr>
        <w:t>pas de</w:t>
      </w:r>
      <w:r w:rsidRPr="00A74928">
        <w:rPr>
          <w:rFonts w:asciiTheme="minorHAnsi" w:hAnsiTheme="minorHAnsi"/>
          <w:szCs w:val="22"/>
        </w:rPr>
        <w:t xml:space="preserve"> seuil </w:t>
      </w:r>
      <w:r w:rsidR="00C22D77" w:rsidRPr="00A74928">
        <w:rPr>
          <w:rFonts w:asciiTheme="minorHAnsi" w:hAnsiTheme="minorHAnsi"/>
          <w:szCs w:val="22"/>
        </w:rPr>
        <w:t>déclaratif</w:t>
      </w:r>
      <w:r w:rsidRPr="00A74928">
        <w:rPr>
          <w:rFonts w:asciiTheme="minorHAnsi" w:hAnsiTheme="minorHAnsi"/>
          <w:szCs w:val="22"/>
        </w:rPr>
        <w:t xml:space="preserve"> et tou</w:t>
      </w:r>
      <w:r w:rsidR="00AE2378" w:rsidRPr="00A74928">
        <w:rPr>
          <w:rFonts w:asciiTheme="minorHAnsi" w:hAnsiTheme="minorHAnsi"/>
          <w:szCs w:val="22"/>
        </w:rPr>
        <w:t xml:space="preserve">tes les opérations rentrant en comptabilité </w:t>
      </w:r>
      <w:r w:rsidR="00D947AD" w:rsidRPr="00A74928">
        <w:rPr>
          <w:rFonts w:asciiTheme="minorHAnsi" w:hAnsiTheme="minorHAnsi"/>
          <w:szCs w:val="22"/>
        </w:rPr>
        <w:t>sont déclarables</w:t>
      </w:r>
      <w:r w:rsidR="00AE2378" w:rsidRPr="00A74928">
        <w:rPr>
          <w:rFonts w:asciiTheme="minorHAnsi" w:hAnsiTheme="minorHAnsi"/>
          <w:szCs w:val="22"/>
        </w:rPr>
        <w:t xml:space="preserve"> dès le premier euro, à l’exception d</w:t>
      </w:r>
      <w:r w:rsidR="00D947AD" w:rsidRPr="00A74928">
        <w:rPr>
          <w:rFonts w:asciiTheme="minorHAnsi" w:hAnsiTheme="minorHAnsi"/>
          <w:szCs w:val="22"/>
        </w:rPr>
        <w:t>e deux types de transactions</w:t>
      </w:r>
      <w:r w:rsidR="00AE2378" w:rsidRPr="00A74928">
        <w:rPr>
          <w:rFonts w:asciiTheme="minorHAnsi" w:hAnsiTheme="minorHAnsi"/>
          <w:szCs w:val="22"/>
        </w:rPr>
        <w:t xml:space="preserve"> qui sont </w:t>
      </w:r>
      <w:r w:rsidR="00342991" w:rsidRPr="00A74928">
        <w:rPr>
          <w:rFonts w:asciiTheme="minorHAnsi" w:hAnsiTheme="minorHAnsi"/>
          <w:szCs w:val="22"/>
        </w:rPr>
        <w:t xml:space="preserve">systématiquement </w:t>
      </w:r>
      <w:r w:rsidR="00AE2378" w:rsidRPr="00A74928">
        <w:rPr>
          <w:rFonts w:asciiTheme="minorHAnsi" w:hAnsiTheme="minorHAnsi"/>
          <w:szCs w:val="22"/>
        </w:rPr>
        <w:t>à exclure :</w:t>
      </w:r>
    </w:p>
    <w:p w:rsidR="007506B0" w:rsidRPr="00A74928" w:rsidRDefault="007506B0" w:rsidP="007506B0">
      <w:pPr>
        <w:rPr>
          <w:rFonts w:asciiTheme="minorHAnsi" w:hAnsiTheme="minorHAnsi"/>
          <w:sz w:val="16"/>
          <w:szCs w:val="16"/>
        </w:rPr>
      </w:pPr>
    </w:p>
    <w:p w:rsidR="007506B0" w:rsidRPr="00A74928" w:rsidRDefault="00AE2378" w:rsidP="00351457">
      <w:pPr>
        <w:pStyle w:val="Paragraphedeliste"/>
        <w:numPr>
          <w:ilvl w:val="0"/>
          <w:numId w:val="30"/>
        </w:numPr>
        <w:rPr>
          <w:rFonts w:asciiTheme="minorHAnsi" w:hAnsiTheme="minorHAnsi"/>
          <w:szCs w:val="22"/>
        </w:rPr>
      </w:pPr>
      <w:r w:rsidRPr="00A74928">
        <w:rPr>
          <w:rFonts w:asciiTheme="minorHAnsi" w:hAnsiTheme="minorHAnsi"/>
          <w:szCs w:val="22"/>
        </w:rPr>
        <w:t>l</w:t>
      </w:r>
      <w:r w:rsidR="007506B0" w:rsidRPr="00A74928">
        <w:rPr>
          <w:rFonts w:asciiTheme="minorHAnsi" w:hAnsiTheme="minorHAnsi"/>
          <w:szCs w:val="22"/>
        </w:rPr>
        <w:t>e</w:t>
      </w:r>
      <w:r w:rsidRPr="00A74928">
        <w:rPr>
          <w:rFonts w:asciiTheme="minorHAnsi" w:hAnsiTheme="minorHAnsi"/>
          <w:szCs w:val="22"/>
        </w:rPr>
        <w:t>s</w:t>
      </w:r>
      <w:r w:rsidR="007506B0" w:rsidRPr="00A74928">
        <w:rPr>
          <w:rFonts w:asciiTheme="minorHAnsi" w:hAnsiTheme="minorHAnsi"/>
          <w:szCs w:val="22"/>
        </w:rPr>
        <w:t xml:space="preserve"> achats et </w:t>
      </w:r>
      <w:r w:rsidR="00F90686" w:rsidRPr="00A74928">
        <w:rPr>
          <w:rFonts w:asciiTheme="minorHAnsi" w:hAnsiTheme="minorHAnsi"/>
          <w:szCs w:val="22"/>
        </w:rPr>
        <w:t>ventes</w:t>
      </w:r>
      <w:r w:rsidR="007506B0" w:rsidRPr="00A74928">
        <w:rPr>
          <w:rFonts w:asciiTheme="minorHAnsi" w:hAnsiTheme="minorHAnsi"/>
          <w:szCs w:val="22"/>
        </w:rPr>
        <w:t xml:space="preserve"> de </w:t>
      </w:r>
      <w:r w:rsidR="004A4B6C" w:rsidRPr="00A74928">
        <w:rPr>
          <w:rFonts w:asciiTheme="minorHAnsi" w:hAnsiTheme="minorHAnsi"/>
          <w:szCs w:val="22"/>
        </w:rPr>
        <w:t xml:space="preserve">biens </w:t>
      </w:r>
      <w:r w:rsidR="00F90686" w:rsidRPr="00A74928">
        <w:rPr>
          <w:rFonts w:asciiTheme="minorHAnsi" w:hAnsiTheme="minorHAnsi"/>
          <w:szCs w:val="22"/>
        </w:rPr>
        <w:t xml:space="preserve"> (ce</w:t>
      </w:r>
      <w:r w:rsidRPr="00A74928">
        <w:rPr>
          <w:rFonts w:asciiTheme="minorHAnsi" w:hAnsiTheme="minorHAnsi"/>
          <w:szCs w:val="22"/>
        </w:rPr>
        <w:t>t</w:t>
      </w:r>
      <w:r w:rsidR="00F90686" w:rsidRPr="00A74928">
        <w:rPr>
          <w:rFonts w:asciiTheme="minorHAnsi" w:hAnsiTheme="minorHAnsi"/>
          <w:szCs w:val="22"/>
        </w:rPr>
        <w:t xml:space="preserve">te </w:t>
      </w:r>
      <w:r w:rsidRPr="00A74928">
        <w:rPr>
          <w:rFonts w:asciiTheme="minorHAnsi" w:hAnsiTheme="minorHAnsi"/>
          <w:szCs w:val="22"/>
        </w:rPr>
        <w:t>information</w:t>
      </w:r>
      <w:r w:rsidR="00F90686" w:rsidRPr="00A74928">
        <w:rPr>
          <w:rFonts w:asciiTheme="minorHAnsi" w:hAnsiTheme="minorHAnsi"/>
          <w:szCs w:val="22"/>
        </w:rPr>
        <w:t xml:space="preserve"> ét</w:t>
      </w:r>
      <w:r w:rsidRPr="00A74928">
        <w:rPr>
          <w:rFonts w:asciiTheme="minorHAnsi" w:hAnsiTheme="minorHAnsi"/>
          <w:szCs w:val="22"/>
        </w:rPr>
        <w:t>ant</w:t>
      </w:r>
      <w:r w:rsidR="00F90686" w:rsidRPr="00A74928">
        <w:rPr>
          <w:rFonts w:asciiTheme="minorHAnsi" w:hAnsiTheme="minorHAnsi"/>
          <w:szCs w:val="22"/>
        </w:rPr>
        <w:t xml:space="preserve"> issue d</w:t>
      </w:r>
      <w:r w:rsidR="007506B0" w:rsidRPr="00A74928">
        <w:rPr>
          <w:rFonts w:asciiTheme="minorHAnsi" w:hAnsiTheme="minorHAnsi"/>
          <w:szCs w:val="22"/>
        </w:rPr>
        <w:t xml:space="preserve">es </w:t>
      </w:r>
      <w:r w:rsidR="00F90686" w:rsidRPr="00A74928">
        <w:rPr>
          <w:rFonts w:asciiTheme="minorHAnsi" w:hAnsiTheme="minorHAnsi"/>
          <w:szCs w:val="22"/>
        </w:rPr>
        <w:t>statistiques</w:t>
      </w:r>
      <w:r w:rsidR="007506B0" w:rsidRPr="00A74928">
        <w:rPr>
          <w:rFonts w:asciiTheme="minorHAnsi" w:hAnsiTheme="minorHAnsi"/>
          <w:szCs w:val="22"/>
        </w:rPr>
        <w:t xml:space="preserve"> </w:t>
      </w:r>
      <w:r w:rsidR="004F7DC4" w:rsidRPr="00A74928">
        <w:rPr>
          <w:rFonts w:asciiTheme="minorHAnsi" w:hAnsiTheme="minorHAnsi"/>
          <w:szCs w:val="22"/>
        </w:rPr>
        <w:t xml:space="preserve">du commerce extérieur </w:t>
      </w:r>
      <w:r w:rsidR="007506B0" w:rsidRPr="00A74928">
        <w:rPr>
          <w:rFonts w:asciiTheme="minorHAnsi" w:hAnsiTheme="minorHAnsi"/>
          <w:szCs w:val="22"/>
        </w:rPr>
        <w:t>de</w:t>
      </w:r>
      <w:r w:rsidRPr="00A74928">
        <w:rPr>
          <w:rFonts w:asciiTheme="minorHAnsi" w:hAnsiTheme="minorHAnsi"/>
          <w:szCs w:val="22"/>
        </w:rPr>
        <w:t>s</w:t>
      </w:r>
      <w:r w:rsidR="007506B0" w:rsidRPr="00A74928">
        <w:rPr>
          <w:rFonts w:asciiTheme="minorHAnsi" w:hAnsiTheme="minorHAnsi"/>
          <w:szCs w:val="22"/>
        </w:rPr>
        <w:t xml:space="preserve"> douanes </w:t>
      </w:r>
      <w:r w:rsidRPr="00A74928">
        <w:rPr>
          <w:rFonts w:asciiTheme="minorHAnsi" w:hAnsiTheme="minorHAnsi"/>
          <w:szCs w:val="22"/>
        </w:rPr>
        <w:t>françaises</w:t>
      </w:r>
      <w:r w:rsidR="007506B0" w:rsidRPr="00A74928">
        <w:rPr>
          <w:rFonts w:asciiTheme="minorHAnsi" w:hAnsiTheme="minorHAnsi"/>
          <w:szCs w:val="22"/>
        </w:rPr>
        <w:t>), sa</w:t>
      </w:r>
      <w:r w:rsidRPr="00A74928">
        <w:rPr>
          <w:rFonts w:asciiTheme="minorHAnsi" w:hAnsiTheme="minorHAnsi"/>
          <w:szCs w:val="22"/>
        </w:rPr>
        <w:t>uf pour ce qui concerne l’avitaillement et le « soutage », ainsi que le</w:t>
      </w:r>
      <w:r w:rsidR="007506B0" w:rsidRPr="00A74928">
        <w:rPr>
          <w:rFonts w:asciiTheme="minorHAnsi" w:hAnsiTheme="minorHAnsi"/>
          <w:szCs w:val="22"/>
        </w:rPr>
        <w:t xml:space="preserve"> « négoce in</w:t>
      </w:r>
      <w:r w:rsidRPr="00A74928">
        <w:rPr>
          <w:rFonts w:asciiTheme="minorHAnsi" w:hAnsiTheme="minorHAnsi"/>
          <w:szCs w:val="22"/>
        </w:rPr>
        <w:t>ternational »</w:t>
      </w:r>
      <w:r w:rsidR="007506B0" w:rsidRPr="00A74928">
        <w:rPr>
          <w:rFonts w:asciiTheme="minorHAnsi" w:hAnsiTheme="minorHAnsi"/>
          <w:szCs w:val="22"/>
        </w:rPr>
        <w:t> qui correspond aux échanges sans franchissement de la frontière française (y compris avec les pays de l’Union Européenne)</w:t>
      </w:r>
      <w:r w:rsidR="00B812B1" w:rsidRPr="00A74928">
        <w:rPr>
          <w:rFonts w:asciiTheme="minorHAnsi" w:hAnsiTheme="minorHAnsi"/>
          <w:szCs w:val="22"/>
        </w:rPr>
        <w:t>, qui sont des opérations à déclarer</w:t>
      </w:r>
      <w:r w:rsidRPr="00A74928">
        <w:rPr>
          <w:rFonts w:asciiTheme="minorHAnsi" w:hAnsiTheme="minorHAnsi"/>
          <w:szCs w:val="22"/>
        </w:rPr>
        <w:t> ;</w:t>
      </w:r>
    </w:p>
    <w:p w:rsidR="00AE2378" w:rsidRPr="00A74928" w:rsidRDefault="00AE2378" w:rsidP="00351457">
      <w:pPr>
        <w:pStyle w:val="Paragraphedeliste"/>
        <w:numPr>
          <w:ilvl w:val="0"/>
          <w:numId w:val="30"/>
        </w:numPr>
        <w:rPr>
          <w:rFonts w:asciiTheme="minorHAnsi" w:hAnsiTheme="minorHAnsi"/>
          <w:szCs w:val="22"/>
        </w:rPr>
      </w:pPr>
      <w:r w:rsidRPr="00A74928">
        <w:rPr>
          <w:rFonts w:asciiTheme="minorHAnsi" w:hAnsiTheme="minorHAnsi"/>
          <w:szCs w:val="22"/>
        </w:rPr>
        <w:t>les opérations sur titres hors « </w:t>
      </w:r>
      <w:r w:rsidR="000B5C52" w:rsidRPr="00A74928">
        <w:rPr>
          <w:rFonts w:asciiTheme="minorHAnsi" w:hAnsiTheme="minorHAnsi"/>
          <w:szCs w:val="22"/>
        </w:rPr>
        <w:t>investissement</w:t>
      </w:r>
      <w:r w:rsidR="00862C05" w:rsidRPr="00A74928">
        <w:rPr>
          <w:rFonts w:asciiTheme="minorHAnsi" w:hAnsiTheme="minorHAnsi"/>
          <w:szCs w:val="22"/>
        </w:rPr>
        <w:t>s</w:t>
      </w:r>
      <w:r w:rsidRPr="00A74928">
        <w:rPr>
          <w:rFonts w:asciiTheme="minorHAnsi" w:hAnsiTheme="minorHAnsi"/>
          <w:szCs w:val="22"/>
        </w:rPr>
        <w:t xml:space="preserve"> </w:t>
      </w:r>
      <w:r w:rsidR="000B5C52" w:rsidRPr="00A74928">
        <w:rPr>
          <w:rFonts w:asciiTheme="minorHAnsi" w:hAnsiTheme="minorHAnsi"/>
          <w:szCs w:val="22"/>
        </w:rPr>
        <w:t>directs</w:t>
      </w:r>
      <w:r w:rsidRPr="00A74928">
        <w:rPr>
          <w:rFonts w:asciiTheme="minorHAnsi" w:hAnsiTheme="minorHAnsi"/>
          <w:szCs w:val="22"/>
        </w:rPr>
        <w:t xml:space="preserve"> », ainsi que les </w:t>
      </w:r>
      <w:r w:rsidR="000B5C52" w:rsidRPr="00A74928">
        <w:rPr>
          <w:rFonts w:asciiTheme="minorHAnsi" w:hAnsiTheme="minorHAnsi"/>
          <w:szCs w:val="22"/>
        </w:rPr>
        <w:t>intérêts</w:t>
      </w:r>
      <w:r w:rsidR="007506B0" w:rsidRPr="00A74928">
        <w:rPr>
          <w:rFonts w:asciiTheme="minorHAnsi" w:hAnsiTheme="minorHAnsi"/>
          <w:szCs w:val="22"/>
        </w:rPr>
        <w:t xml:space="preserve"> enc</w:t>
      </w:r>
      <w:r w:rsidR="000B5C52" w:rsidRPr="00A74928">
        <w:rPr>
          <w:rFonts w:asciiTheme="minorHAnsi" w:hAnsiTheme="minorHAnsi"/>
          <w:szCs w:val="22"/>
        </w:rPr>
        <w:t>aissés</w:t>
      </w:r>
      <w:r w:rsidR="007506B0" w:rsidRPr="00A74928">
        <w:rPr>
          <w:rFonts w:asciiTheme="minorHAnsi" w:hAnsiTheme="minorHAnsi"/>
          <w:szCs w:val="22"/>
        </w:rPr>
        <w:t xml:space="preserve"> ou ve</w:t>
      </w:r>
      <w:r w:rsidR="000B5C52" w:rsidRPr="00A74928">
        <w:rPr>
          <w:rFonts w:asciiTheme="minorHAnsi" w:hAnsiTheme="minorHAnsi"/>
          <w:szCs w:val="22"/>
        </w:rPr>
        <w:t>rsés</w:t>
      </w:r>
      <w:r w:rsidR="007506B0" w:rsidRPr="00A74928">
        <w:rPr>
          <w:rFonts w:asciiTheme="minorHAnsi" w:hAnsiTheme="minorHAnsi"/>
          <w:szCs w:val="22"/>
        </w:rPr>
        <w:t xml:space="preserve"> au tit</w:t>
      </w:r>
      <w:r w:rsidRPr="00A74928">
        <w:rPr>
          <w:rFonts w:asciiTheme="minorHAnsi" w:hAnsiTheme="minorHAnsi"/>
          <w:szCs w:val="22"/>
        </w:rPr>
        <w:t>re de ces transactions</w:t>
      </w:r>
      <w:r w:rsidR="000B5C52" w:rsidRPr="00A74928">
        <w:rPr>
          <w:rFonts w:asciiTheme="minorHAnsi" w:hAnsiTheme="minorHAnsi"/>
          <w:szCs w:val="22"/>
        </w:rPr>
        <w:t>, qui relèvent d’autres collectes statistiques réalisées par la Banque de France auprès des banques et des conservateurs de valeurs mobilières.</w:t>
      </w:r>
    </w:p>
    <w:p w:rsidR="00AE2378" w:rsidRPr="00A74928" w:rsidRDefault="00AE2378" w:rsidP="00AE2378">
      <w:pPr>
        <w:pStyle w:val="Paragraphedeliste"/>
        <w:ind w:left="0"/>
        <w:rPr>
          <w:rFonts w:asciiTheme="minorHAnsi" w:hAnsiTheme="minorHAnsi"/>
          <w:szCs w:val="22"/>
        </w:rPr>
      </w:pPr>
    </w:p>
    <w:p w:rsidR="007506B0" w:rsidRPr="00A74928" w:rsidRDefault="007506B0" w:rsidP="00AE2378">
      <w:pPr>
        <w:pStyle w:val="Paragraphedeliste"/>
        <w:ind w:left="0"/>
        <w:rPr>
          <w:rFonts w:asciiTheme="minorHAnsi" w:hAnsiTheme="minorHAnsi"/>
          <w:szCs w:val="22"/>
        </w:rPr>
      </w:pPr>
      <w:r w:rsidRPr="00A74928">
        <w:rPr>
          <w:rFonts w:asciiTheme="minorHAnsi" w:hAnsiTheme="minorHAnsi"/>
          <w:szCs w:val="22"/>
        </w:rPr>
        <w:t>Dans le domaine d</w:t>
      </w:r>
      <w:r w:rsidR="000B5C52" w:rsidRPr="00A74928">
        <w:rPr>
          <w:rFonts w:asciiTheme="minorHAnsi" w:hAnsiTheme="minorHAnsi"/>
          <w:szCs w:val="22"/>
        </w:rPr>
        <w:t>es opérations financières ne sont requis</w:t>
      </w:r>
      <w:r w:rsidR="00862C05" w:rsidRPr="00A74928">
        <w:rPr>
          <w:rFonts w:asciiTheme="minorHAnsi" w:hAnsiTheme="minorHAnsi"/>
          <w:szCs w:val="22"/>
        </w:rPr>
        <w:t>es</w:t>
      </w:r>
      <w:r w:rsidR="000B5C52" w:rsidRPr="00A74928">
        <w:rPr>
          <w:rFonts w:asciiTheme="minorHAnsi" w:hAnsiTheme="minorHAnsi"/>
          <w:szCs w:val="22"/>
        </w:rPr>
        <w:t xml:space="preserve"> que les déclarations de</w:t>
      </w:r>
      <w:r w:rsidRPr="00A74928">
        <w:rPr>
          <w:rFonts w:asciiTheme="minorHAnsi" w:hAnsiTheme="minorHAnsi"/>
          <w:szCs w:val="22"/>
        </w:rPr>
        <w:t xml:space="preserve"> prises ou d</w:t>
      </w:r>
      <w:r w:rsidR="000B5C52" w:rsidRPr="00A74928">
        <w:rPr>
          <w:rFonts w:asciiTheme="minorHAnsi" w:hAnsiTheme="minorHAnsi"/>
          <w:szCs w:val="22"/>
        </w:rPr>
        <w:t>e cessions de</w:t>
      </w:r>
      <w:r w:rsidRPr="00A74928">
        <w:rPr>
          <w:rFonts w:asciiTheme="minorHAnsi" w:hAnsiTheme="minorHAnsi"/>
          <w:szCs w:val="22"/>
        </w:rPr>
        <w:t xml:space="preserve"> par</w:t>
      </w:r>
      <w:r w:rsidR="000B5C52" w:rsidRPr="00A74928">
        <w:rPr>
          <w:rFonts w:asciiTheme="minorHAnsi" w:hAnsiTheme="minorHAnsi"/>
          <w:szCs w:val="22"/>
        </w:rPr>
        <w:t>ticipations</w:t>
      </w:r>
      <w:r w:rsidRPr="00A74928">
        <w:rPr>
          <w:rFonts w:asciiTheme="minorHAnsi" w:hAnsiTheme="minorHAnsi"/>
          <w:szCs w:val="22"/>
        </w:rPr>
        <w:t xml:space="preserve"> lorsqu</w:t>
      </w:r>
      <w:r w:rsidR="004A4B6C" w:rsidRPr="00A74928">
        <w:rPr>
          <w:rFonts w:asciiTheme="minorHAnsi" w:hAnsiTheme="minorHAnsi"/>
          <w:szCs w:val="22"/>
        </w:rPr>
        <w:t>e ces dernières</w:t>
      </w:r>
      <w:r w:rsidRPr="00A74928">
        <w:rPr>
          <w:rFonts w:asciiTheme="minorHAnsi" w:hAnsiTheme="minorHAnsi"/>
          <w:szCs w:val="22"/>
        </w:rPr>
        <w:t xml:space="preserve"> </w:t>
      </w:r>
      <w:r w:rsidR="00602C8B" w:rsidRPr="00A74928">
        <w:rPr>
          <w:rFonts w:asciiTheme="minorHAnsi" w:hAnsiTheme="minorHAnsi"/>
          <w:szCs w:val="22"/>
        </w:rPr>
        <w:t xml:space="preserve">atteignent ou </w:t>
      </w:r>
      <w:r w:rsidR="000B5C52" w:rsidRPr="00A74928">
        <w:rPr>
          <w:rFonts w:asciiTheme="minorHAnsi" w:hAnsiTheme="minorHAnsi"/>
          <w:szCs w:val="22"/>
        </w:rPr>
        <w:t>dépassent</w:t>
      </w:r>
      <w:r w:rsidRPr="00A74928">
        <w:rPr>
          <w:rFonts w:asciiTheme="minorHAnsi" w:hAnsiTheme="minorHAnsi"/>
          <w:szCs w:val="22"/>
        </w:rPr>
        <w:t xml:space="preserve"> </w:t>
      </w:r>
      <w:r w:rsidR="000B5C52" w:rsidRPr="00A74928">
        <w:rPr>
          <w:rFonts w:asciiTheme="minorHAnsi" w:hAnsiTheme="minorHAnsi"/>
          <w:szCs w:val="22"/>
        </w:rPr>
        <w:t>plus</w:t>
      </w:r>
      <w:r w:rsidRPr="00A74928">
        <w:rPr>
          <w:rFonts w:asciiTheme="minorHAnsi" w:hAnsiTheme="minorHAnsi"/>
          <w:szCs w:val="22"/>
        </w:rPr>
        <w:t xml:space="preserve"> de 10</w:t>
      </w:r>
      <w:r w:rsidR="00862C05" w:rsidRPr="00A74928">
        <w:rPr>
          <w:rFonts w:asciiTheme="minorHAnsi" w:hAnsiTheme="minorHAnsi"/>
          <w:szCs w:val="22"/>
        </w:rPr>
        <w:t xml:space="preserve"> </w:t>
      </w:r>
      <w:r w:rsidRPr="00A74928">
        <w:rPr>
          <w:rFonts w:asciiTheme="minorHAnsi" w:hAnsiTheme="minorHAnsi"/>
          <w:szCs w:val="22"/>
        </w:rPr>
        <w:t xml:space="preserve">% du </w:t>
      </w:r>
      <w:r w:rsidR="000B5C52" w:rsidRPr="00A74928">
        <w:rPr>
          <w:rFonts w:asciiTheme="minorHAnsi" w:hAnsiTheme="minorHAnsi"/>
          <w:szCs w:val="22"/>
        </w:rPr>
        <w:t>capital</w:t>
      </w:r>
      <w:r w:rsidRPr="00A74928">
        <w:rPr>
          <w:rFonts w:asciiTheme="minorHAnsi" w:hAnsiTheme="minorHAnsi"/>
          <w:szCs w:val="22"/>
        </w:rPr>
        <w:t xml:space="preserve"> dans les deux sens (in</w:t>
      </w:r>
      <w:r w:rsidR="000B5C52" w:rsidRPr="00A74928">
        <w:rPr>
          <w:rFonts w:asciiTheme="minorHAnsi" w:hAnsiTheme="minorHAnsi"/>
          <w:szCs w:val="22"/>
        </w:rPr>
        <w:t>vestissements</w:t>
      </w:r>
      <w:r w:rsidRPr="00A74928">
        <w:rPr>
          <w:rFonts w:asciiTheme="minorHAnsi" w:hAnsiTheme="minorHAnsi"/>
          <w:szCs w:val="22"/>
        </w:rPr>
        <w:t xml:space="preserve"> </w:t>
      </w:r>
      <w:r w:rsidR="000B5C52" w:rsidRPr="00A74928">
        <w:rPr>
          <w:rFonts w:asciiTheme="minorHAnsi" w:hAnsiTheme="minorHAnsi"/>
          <w:szCs w:val="22"/>
        </w:rPr>
        <w:t xml:space="preserve">français à </w:t>
      </w:r>
      <w:r w:rsidRPr="00A74928">
        <w:rPr>
          <w:rFonts w:asciiTheme="minorHAnsi" w:hAnsiTheme="minorHAnsi"/>
          <w:szCs w:val="22"/>
        </w:rPr>
        <w:t>l’étranger et étrangers en France</w:t>
      </w:r>
      <w:r w:rsidR="004A4B6C" w:rsidRPr="00A74928">
        <w:rPr>
          <w:rFonts w:asciiTheme="minorHAnsi" w:hAnsiTheme="minorHAnsi"/>
          <w:szCs w:val="22"/>
        </w:rPr>
        <w:t xml:space="preserve"> – cf. paragraphe 4</w:t>
      </w:r>
      <w:r w:rsidRPr="00A74928">
        <w:rPr>
          <w:rFonts w:asciiTheme="minorHAnsi" w:hAnsiTheme="minorHAnsi"/>
          <w:szCs w:val="22"/>
        </w:rPr>
        <w:t xml:space="preserve">) </w:t>
      </w:r>
      <w:r w:rsidR="000B5C52" w:rsidRPr="00A74928">
        <w:rPr>
          <w:rFonts w:asciiTheme="minorHAnsi" w:hAnsiTheme="minorHAnsi"/>
          <w:szCs w:val="22"/>
        </w:rPr>
        <w:t>et les dividendes</w:t>
      </w:r>
      <w:r w:rsidRPr="00A74928">
        <w:rPr>
          <w:rFonts w:asciiTheme="minorHAnsi" w:hAnsiTheme="minorHAnsi"/>
          <w:szCs w:val="22"/>
        </w:rPr>
        <w:t xml:space="preserve"> se rapportant à ces </w:t>
      </w:r>
      <w:r w:rsidR="000B5C52" w:rsidRPr="00A74928">
        <w:rPr>
          <w:rFonts w:asciiTheme="minorHAnsi" w:hAnsiTheme="minorHAnsi"/>
          <w:szCs w:val="22"/>
        </w:rPr>
        <w:t>participations</w:t>
      </w:r>
      <w:r w:rsidRPr="00A74928">
        <w:rPr>
          <w:rFonts w:asciiTheme="minorHAnsi" w:hAnsiTheme="minorHAnsi"/>
          <w:szCs w:val="22"/>
        </w:rPr>
        <w:t>.</w:t>
      </w:r>
    </w:p>
    <w:p w:rsidR="007506B0" w:rsidRPr="00A74928" w:rsidRDefault="007506B0" w:rsidP="007506B0">
      <w:pPr>
        <w:rPr>
          <w:rFonts w:asciiTheme="minorHAnsi" w:hAnsiTheme="minorHAnsi"/>
          <w:szCs w:val="22"/>
        </w:rPr>
      </w:pPr>
    </w:p>
    <w:p w:rsidR="007506B0" w:rsidRPr="00A74928" w:rsidRDefault="007506B0" w:rsidP="007506B0">
      <w:pPr>
        <w:rPr>
          <w:rFonts w:asciiTheme="minorHAnsi" w:hAnsiTheme="minorHAnsi"/>
          <w:szCs w:val="22"/>
        </w:rPr>
      </w:pPr>
      <w:r w:rsidRPr="00A74928">
        <w:rPr>
          <w:rFonts w:asciiTheme="minorHAnsi" w:hAnsiTheme="minorHAnsi"/>
          <w:szCs w:val="22"/>
        </w:rPr>
        <w:t>Les prê</w:t>
      </w:r>
      <w:r w:rsidR="000B5C52" w:rsidRPr="00A74928">
        <w:rPr>
          <w:rFonts w:asciiTheme="minorHAnsi" w:hAnsiTheme="minorHAnsi"/>
          <w:szCs w:val="22"/>
        </w:rPr>
        <w:t>ts et</w:t>
      </w:r>
      <w:r w:rsidRPr="00A74928">
        <w:rPr>
          <w:rFonts w:asciiTheme="minorHAnsi" w:hAnsiTheme="minorHAnsi"/>
          <w:szCs w:val="22"/>
        </w:rPr>
        <w:t xml:space="preserve"> emprunts </w:t>
      </w:r>
      <w:r w:rsidR="000B5C52" w:rsidRPr="00A74928">
        <w:rPr>
          <w:rFonts w:asciiTheme="minorHAnsi" w:hAnsiTheme="minorHAnsi"/>
          <w:szCs w:val="22"/>
        </w:rPr>
        <w:t>vis-à-vis de</w:t>
      </w:r>
      <w:r w:rsidR="00862C05" w:rsidRPr="00A74928">
        <w:rPr>
          <w:rFonts w:asciiTheme="minorHAnsi" w:hAnsiTheme="minorHAnsi"/>
          <w:szCs w:val="22"/>
        </w:rPr>
        <w:t>s</w:t>
      </w:r>
      <w:r w:rsidRPr="00A74928">
        <w:rPr>
          <w:rFonts w:asciiTheme="minorHAnsi" w:hAnsiTheme="minorHAnsi"/>
          <w:szCs w:val="22"/>
        </w:rPr>
        <w:t xml:space="preserve"> non</w:t>
      </w:r>
      <w:r w:rsidR="00862C05" w:rsidRPr="00A74928">
        <w:rPr>
          <w:rFonts w:asciiTheme="minorHAnsi" w:hAnsiTheme="minorHAnsi"/>
          <w:szCs w:val="22"/>
        </w:rPr>
        <w:t>-</w:t>
      </w:r>
      <w:r w:rsidR="000B5C52" w:rsidRPr="00A74928">
        <w:rPr>
          <w:rFonts w:asciiTheme="minorHAnsi" w:hAnsiTheme="minorHAnsi"/>
          <w:szCs w:val="22"/>
        </w:rPr>
        <w:t>résidents</w:t>
      </w:r>
      <w:r w:rsidRPr="00A74928">
        <w:rPr>
          <w:rFonts w:asciiTheme="minorHAnsi" w:hAnsiTheme="minorHAnsi"/>
          <w:szCs w:val="22"/>
        </w:rPr>
        <w:t xml:space="preserve"> (banques ou sociétés affil</w:t>
      </w:r>
      <w:r w:rsidR="000B5C52" w:rsidRPr="00A74928">
        <w:rPr>
          <w:rFonts w:asciiTheme="minorHAnsi" w:hAnsiTheme="minorHAnsi"/>
          <w:szCs w:val="22"/>
        </w:rPr>
        <w:t>i</w:t>
      </w:r>
      <w:r w:rsidRPr="00A74928">
        <w:rPr>
          <w:rFonts w:asciiTheme="minorHAnsi" w:hAnsiTheme="minorHAnsi"/>
          <w:szCs w:val="22"/>
        </w:rPr>
        <w:t xml:space="preserve">ées) </w:t>
      </w:r>
      <w:r w:rsidR="00342991" w:rsidRPr="00A74928">
        <w:rPr>
          <w:rFonts w:asciiTheme="minorHAnsi" w:hAnsiTheme="minorHAnsi"/>
          <w:szCs w:val="22"/>
        </w:rPr>
        <w:t>doivent être déclarés</w:t>
      </w:r>
      <w:r w:rsidRPr="00A74928">
        <w:rPr>
          <w:rFonts w:asciiTheme="minorHAnsi" w:hAnsiTheme="minorHAnsi"/>
          <w:szCs w:val="22"/>
        </w:rPr>
        <w:t xml:space="preserve"> </w:t>
      </w:r>
      <w:r w:rsidR="00342991" w:rsidRPr="00A74928">
        <w:rPr>
          <w:rFonts w:asciiTheme="minorHAnsi" w:hAnsiTheme="minorHAnsi"/>
          <w:szCs w:val="22"/>
        </w:rPr>
        <w:t xml:space="preserve">en encours </w:t>
      </w:r>
      <w:r w:rsidRPr="00A74928">
        <w:rPr>
          <w:rFonts w:asciiTheme="minorHAnsi" w:hAnsiTheme="minorHAnsi"/>
          <w:szCs w:val="22"/>
        </w:rPr>
        <w:t xml:space="preserve">dans le cadre du </w:t>
      </w:r>
      <w:r w:rsidR="000B5C52" w:rsidRPr="00A74928">
        <w:rPr>
          <w:rFonts w:asciiTheme="minorHAnsi" w:hAnsiTheme="minorHAnsi"/>
          <w:szCs w:val="22"/>
        </w:rPr>
        <w:t>document</w:t>
      </w:r>
      <w:r w:rsidRPr="00A74928">
        <w:rPr>
          <w:rFonts w:asciiTheme="minorHAnsi" w:hAnsiTheme="minorHAnsi"/>
          <w:szCs w:val="22"/>
        </w:rPr>
        <w:t xml:space="preserve"> EFI (</w:t>
      </w:r>
      <w:r w:rsidR="000B5C52" w:rsidRPr="00A74928">
        <w:rPr>
          <w:rFonts w:asciiTheme="minorHAnsi" w:hAnsiTheme="minorHAnsi"/>
          <w:szCs w:val="22"/>
        </w:rPr>
        <w:t>État</w:t>
      </w:r>
      <w:r w:rsidRPr="00A74928">
        <w:rPr>
          <w:rFonts w:asciiTheme="minorHAnsi" w:hAnsiTheme="minorHAnsi"/>
          <w:szCs w:val="22"/>
        </w:rPr>
        <w:t xml:space="preserve"> </w:t>
      </w:r>
      <w:r w:rsidR="000B5C52" w:rsidRPr="00A74928">
        <w:rPr>
          <w:rFonts w:asciiTheme="minorHAnsi" w:hAnsiTheme="minorHAnsi"/>
          <w:szCs w:val="22"/>
        </w:rPr>
        <w:t xml:space="preserve">des </w:t>
      </w:r>
      <w:r w:rsidR="00862C05" w:rsidRPr="00A74928">
        <w:rPr>
          <w:rFonts w:asciiTheme="minorHAnsi" w:hAnsiTheme="minorHAnsi"/>
          <w:szCs w:val="22"/>
        </w:rPr>
        <w:t>c</w:t>
      </w:r>
      <w:r w:rsidR="000B5C52" w:rsidRPr="00A74928">
        <w:rPr>
          <w:rFonts w:asciiTheme="minorHAnsi" w:hAnsiTheme="minorHAnsi"/>
          <w:szCs w:val="22"/>
        </w:rPr>
        <w:t xml:space="preserve">réances et </w:t>
      </w:r>
      <w:r w:rsidR="00862C05" w:rsidRPr="00A74928">
        <w:rPr>
          <w:rFonts w:asciiTheme="minorHAnsi" w:hAnsiTheme="minorHAnsi"/>
          <w:szCs w:val="22"/>
        </w:rPr>
        <w:t>d</w:t>
      </w:r>
      <w:r w:rsidR="000B5C52" w:rsidRPr="00A74928">
        <w:rPr>
          <w:rFonts w:asciiTheme="minorHAnsi" w:hAnsiTheme="minorHAnsi"/>
          <w:szCs w:val="22"/>
        </w:rPr>
        <w:t xml:space="preserve">ettes </w:t>
      </w:r>
      <w:r w:rsidR="00862C05" w:rsidRPr="00A74928">
        <w:rPr>
          <w:rFonts w:asciiTheme="minorHAnsi" w:hAnsiTheme="minorHAnsi"/>
          <w:szCs w:val="22"/>
        </w:rPr>
        <w:t>FI</w:t>
      </w:r>
      <w:r w:rsidR="000B5C52" w:rsidRPr="00A74928">
        <w:rPr>
          <w:rFonts w:asciiTheme="minorHAnsi" w:hAnsiTheme="minorHAnsi"/>
          <w:szCs w:val="22"/>
        </w:rPr>
        <w:t>nancières</w:t>
      </w:r>
      <w:r w:rsidRPr="00A74928">
        <w:rPr>
          <w:rFonts w:asciiTheme="minorHAnsi" w:hAnsiTheme="minorHAnsi"/>
          <w:szCs w:val="22"/>
        </w:rPr>
        <w:t>) dont les D</w:t>
      </w:r>
      <w:r w:rsidR="000B5C52" w:rsidRPr="00A74928">
        <w:rPr>
          <w:rFonts w:asciiTheme="minorHAnsi" w:hAnsiTheme="minorHAnsi"/>
          <w:szCs w:val="22"/>
        </w:rPr>
        <w:t>éclarants Directs Généraux</w:t>
      </w:r>
      <w:r w:rsidR="00342991" w:rsidRPr="00A74928">
        <w:rPr>
          <w:rFonts w:asciiTheme="minorHAnsi" w:hAnsiTheme="minorHAnsi"/>
          <w:szCs w:val="22"/>
        </w:rPr>
        <w:t xml:space="preserve"> sont aussi redevables</w:t>
      </w:r>
      <w:r w:rsidR="000B5C52" w:rsidRPr="00A74928">
        <w:rPr>
          <w:rFonts w:asciiTheme="minorHAnsi" w:hAnsiTheme="minorHAnsi"/>
          <w:szCs w:val="22"/>
        </w:rPr>
        <w:t>. Leur mise en p</w:t>
      </w:r>
      <w:r w:rsidR="00342991" w:rsidRPr="00A74928">
        <w:rPr>
          <w:rFonts w:asciiTheme="minorHAnsi" w:hAnsiTheme="minorHAnsi"/>
          <w:szCs w:val="22"/>
        </w:rPr>
        <w:t>l</w:t>
      </w:r>
      <w:r w:rsidR="000B5C52" w:rsidRPr="00A74928">
        <w:rPr>
          <w:rFonts w:asciiTheme="minorHAnsi" w:hAnsiTheme="minorHAnsi"/>
          <w:szCs w:val="22"/>
        </w:rPr>
        <w:t xml:space="preserve">ace ou leur </w:t>
      </w:r>
      <w:r w:rsidR="00342991" w:rsidRPr="00A74928">
        <w:rPr>
          <w:rFonts w:asciiTheme="minorHAnsi" w:hAnsiTheme="minorHAnsi"/>
          <w:szCs w:val="22"/>
        </w:rPr>
        <w:t>remboursement</w:t>
      </w:r>
      <w:r w:rsidR="000B5C52" w:rsidRPr="00A74928">
        <w:rPr>
          <w:rFonts w:asciiTheme="minorHAnsi" w:hAnsiTheme="minorHAnsi"/>
          <w:szCs w:val="22"/>
        </w:rPr>
        <w:t>, de mê</w:t>
      </w:r>
      <w:r w:rsidR="00342991" w:rsidRPr="00A74928">
        <w:rPr>
          <w:rFonts w:asciiTheme="minorHAnsi" w:hAnsiTheme="minorHAnsi"/>
          <w:szCs w:val="22"/>
        </w:rPr>
        <w:t>me que</w:t>
      </w:r>
      <w:r w:rsidR="000B5C52" w:rsidRPr="00A74928">
        <w:rPr>
          <w:rFonts w:asciiTheme="minorHAnsi" w:hAnsiTheme="minorHAnsi"/>
          <w:szCs w:val="22"/>
        </w:rPr>
        <w:t xml:space="preserve"> les </w:t>
      </w:r>
      <w:r w:rsidR="00342991" w:rsidRPr="00A74928">
        <w:rPr>
          <w:rFonts w:asciiTheme="minorHAnsi" w:hAnsiTheme="minorHAnsi"/>
          <w:szCs w:val="22"/>
        </w:rPr>
        <w:t>revenus</w:t>
      </w:r>
      <w:r w:rsidR="000B5C52" w:rsidRPr="00A74928">
        <w:rPr>
          <w:rFonts w:asciiTheme="minorHAnsi" w:hAnsiTheme="minorHAnsi"/>
          <w:szCs w:val="22"/>
        </w:rPr>
        <w:t xml:space="preserve"> </w:t>
      </w:r>
      <w:r w:rsidR="00342991" w:rsidRPr="00A74928">
        <w:rPr>
          <w:rFonts w:asciiTheme="minorHAnsi" w:hAnsiTheme="minorHAnsi"/>
          <w:szCs w:val="22"/>
        </w:rPr>
        <w:t xml:space="preserve">qui leur </w:t>
      </w:r>
      <w:r w:rsidR="007B75F3" w:rsidRPr="00A74928">
        <w:rPr>
          <w:rFonts w:asciiTheme="minorHAnsi" w:hAnsiTheme="minorHAnsi"/>
          <w:szCs w:val="22"/>
        </w:rPr>
        <w:t xml:space="preserve">sont </w:t>
      </w:r>
      <w:r w:rsidR="00342991" w:rsidRPr="00A74928">
        <w:rPr>
          <w:rFonts w:asciiTheme="minorHAnsi" w:hAnsiTheme="minorHAnsi"/>
          <w:szCs w:val="22"/>
        </w:rPr>
        <w:t>associés (produits et charges</w:t>
      </w:r>
      <w:r w:rsidR="00D6010B" w:rsidRPr="00A74928">
        <w:rPr>
          <w:rFonts w:asciiTheme="minorHAnsi" w:hAnsiTheme="minorHAnsi"/>
          <w:szCs w:val="22"/>
        </w:rPr>
        <w:t xml:space="preserve"> reçus ou versés</w:t>
      </w:r>
      <w:r w:rsidR="00342991" w:rsidRPr="00A74928">
        <w:rPr>
          <w:rFonts w:asciiTheme="minorHAnsi" w:hAnsiTheme="minorHAnsi"/>
          <w:szCs w:val="22"/>
        </w:rPr>
        <w:t>), ne sont p</w:t>
      </w:r>
      <w:r w:rsidR="009A6CA5" w:rsidRPr="00A74928">
        <w:rPr>
          <w:rFonts w:asciiTheme="minorHAnsi" w:hAnsiTheme="minorHAnsi"/>
          <w:szCs w:val="22"/>
        </w:rPr>
        <w:t>a</w:t>
      </w:r>
      <w:r w:rsidR="00342991" w:rsidRPr="00A74928">
        <w:rPr>
          <w:rFonts w:asciiTheme="minorHAnsi" w:hAnsiTheme="minorHAnsi"/>
          <w:szCs w:val="22"/>
        </w:rPr>
        <w:t>s déclarables</w:t>
      </w:r>
      <w:r w:rsidR="004A4B6C" w:rsidRPr="00A74928">
        <w:rPr>
          <w:rFonts w:asciiTheme="minorHAnsi" w:hAnsiTheme="minorHAnsi"/>
          <w:szCs w:val="22"/>
        </w:rPr>
        <w:t xml:space="preserve"> dans le RTE</w:t>
      </w:r>
      <w:r w:rsidR="00342991" w:rsidRPr="00A74928">
        <w:rPr>
          <w:rFonts w:asciiTheme="minorHAnsi" w:hAnsiTheme="minorHAnsi"/>
          <w:szCs w:val="22"/>
        </w:rPr>
        <w:t>.</w:t>
      </w:r>
    </w:p>
    <w:p w:rsidR="007506B0" w:rsidRPr="00A74928" w:rsidRDefault="007506B0" w:rsidP="007506B0">
      <w:pPr>
        <w:rPr>
          <w:rFonts w:asciiTheme="minorHAnsi" w:hAnsiTheme="minorHAnsi"/>
          <w:szCs w:val="22"/>
        </w:rPr>
      </w:pPr>
    </w:p>
    <w:p w:rsidR="007506B0" w:rsidRPr="00A74928" w:rsidRDefault="007506B0" w:rsidP="007506B0">
      <w:pPr>
        <w:rPr>
          <w:rFonts w:asciiTheme="minorHAnsi" w:hAnsiTheme="minorHAnsi"/>
          <w:szCs w:val="22"/>
        </w:rPr>
      </w:pPr>
      <w:r w:rsidRPr="00A74928">
        <w:rPr>
          <w:rFonts w:asciiTheme="minorHAnsi" w:hAnsiTheme="minorHAnsi"/>
          <w:szCs w:val="22"/>
        </w:rPr>
        <w:t xml:space="preserve">Les </w:t>
      </w:r>
      <w:r w:rsidR="00C920DB" w:rsidRPr="00A74928">
        <w:rPr>
          <w:rFonts w:asciiTheme="minorHAnsi" w:hAnsiTheme="minorHAnsi"/>
          <w:szCs w:val="22"/>
        </w:rPr>
        <w:t xml:space="preserve">flux liés aux transactions sur </w:t>
      </w:r>
      <w:r w:rsidR="00342991" w:rsidRPr="00A74928">
        <w:rPr>
          <w:rFonts w:asciiTheme="minorHAnsi" w:hAnsiTheme="minorHAnsi"/>
          <w:szCs w:val="22"/>
        </w:rPr>
        <w:t>instruments</w:t>
      </w:r>
      <w:r w:rsidRPr="00A74928">
        <w:rPr>
          <w:rFonts w:asciiTheme="minorHAnsi" w:hAnsiTheme="minorHAnsi"/>
          <w:szCs w:val="22"/>
        </w:rPr>
        <w:t xml:space="preserve"> </w:t>
      </w:r>
      <w:r w:rsidR="00342991" w:rsidRPr="00A74928">
        <w:rPr>
          <w:rFonts w:asciiTheme="minorHAnsi" w:hAnsiTheme="minorHAnsi"/>
          <w:szCs w:val="22"/>
        </w:rPr>
        <w:t xml:space="preserve">financiers dérivés </w:t>
      </w:r>
      <w:r w:rsidRPr="00A74928">
        <w:rPr>
          <w:rFonts w:asciiTheme="minorHAnsi" w:hAnsiTheme="minorHAnsi"/>
          <w:szCs w:val="22"/>
        </w:rPr>
        <w:t>(</w:t>
      </w:r>
      <w:r w:rsidR="00C920DB" w:rsidRPr="00A74928">
        <w:rPr>
          <w:rFonts w:asciiTheme="minorHAnsi" w:hAnsiTheme="minorHAnsi"/>
          <w:szCs w:val="22"/>
        </w:rPr>
        <w:t xml:space="preserve">échanges d’intérêts pour les </w:t>
      </w:r>
      <w:r w:rsidRPr="00A74928">
        <w:rPr>
          <w:rFonts w:asciiTheme="minorHAnsi" w:hAnsiTheme="minorHAnsi"/>
          <w:szCs w:val="22"/>
        </w:rPr>
        <w:t xml:space="preserve">swaps, </w:t>
      </w:r>
      <w:r w:rsidR="00C920DB" w:rsidRPr="00A74928">
        <w:rPr>
          <w:rFonts w:asciiTheme="minorHAnsi" w:hAnsiTheme="minorHAnsi"/>
          <w:szCs w:val="22"/>
        </w:rPr>
        <w:t xml:space="preserve">primes sur </w:t>
      </w:r>
      <w:r w:rsidRPr="00A74928">
        <w:rPr>
          <w:rFonts w:asciiTheme="minorHAnsi" w:hAnsiTheme="minorHAnsi"/>
          <w:szCs w:val="22"/>
        </w:rPr>
        <w:t xml:space="preserve">options, </w:t>
      </w:r>
      <w:r w:rsidR="00C920DB" w:rsidRPr="00A74928">
        <w:rPr>
          <w:rFonts w:asciiTheme="minorHAnsi" w:hAnsiTheme="minorHAnsi"/>
          <w:szCs w:val="22"/>
        </w:rPr>
        <w:t>dépôts de garantie ou appels de marge</w:t>
      </w:r>
      <w:r w:rsidRPr="00A74928">
        <w:rPr>
          <w:rFonts w:asciiTheme="minorHAnsi" w:hAnsiTheme="minorHAnsi"/>
          <w:szCs w:val="22"/>
        </w:rPr>
        <w:t xml:space="preserve">) </w:t>
      </w:r>
      <w:r w:rsidR="009A6CA5" w:rsidRPr="00A74928">
        <w:rPr>
          <w:rFonts w:asciiTheme="minorHAnsi" w:hAnsiTheme="minorHAnsi"/>
          <w:szCs w:val="22"/>
        </w:rPr>
        <w:t>ne font pas partie</w:t>
      </w:r>
      <w:r w:rsidR="00D6010B" w:rsidRPr="00A74928">
        <w:rPr>
          <w:rFonts w:asciiTheme="minorHAnsi" w:hAnsiTheme="minorHAnsi"/>
          <w:szCs w:val="22"/>
        </w:rPr>
        <w:t xml:space="preserve"> également du champ de la</w:t>
      </w:r>
      <w:r w:rsidR="00342991" w:rsidRPr="00A74928">
        <w:rPr>
          <w:rFonts w:asciiTheme="minorHAnsi" w:hAnsiTheme="minorHAnsi"/>
          <w:szCs w:val="22"/>
        </w:rPr>
        <w:t xml:space="preserve"> déclar</w:t>
      </w:r>
      <w:r w:rsidR="00B84150" w:rsidRPr="00A74928">
        <w:rPr>
          <w:rFonts w:asciiTheme="minorHAnsi" w:hAnsiTheme="minorHAnsi"/>
          <w:szCs w:val="22"/>
        </w:rPr>
        <w:t>ation. Leur recensement doit être adapté aux</w:t>
      </w:r>
      <w:r w:rsidR="00342991" w:rsidRPr="00A74928">
        <w:rPr>
          <w:rFonts w:asciiTheme="minorHAnsi" w:hAnsiTheme="minorHAnsi"/>
          <w:szCs w:val="22"/>
        </w:rPr>
        <w:t xml:space="preserve"> normes </w:t>
      </w:r>
      <w:r w:rsidR="00D6010B" w:rsidRPr="00A74928">
        <w:rPr>
          <w:rFonts w:asciiTheme="minorHAnsi" w:hAnsiTheme="minorHAnsi"/>
          <w:szCs w:val="22"/>
        </w:rPr>
        <w:t xml:space="preserve">méthodologiques </w:t>
      </w:r>
      <w:r w:rsidR="00B84150" w:rsidRPr="00A74928">
        <w:rPr>
          <w:rFonts w:asciiTheme="minorHAnsi" w:hAnsiTheme="minorHAnsi"/>
          <w:szCs w:val="22"/>
        </w:rPr>
        <w:t xml:space="preserve">internationales par la création </w:t>
      </w:r>
      <w:r w:rsidR="00D6010B" w:rsidRPr="00A74928">
        <w:rPr>
          <w:rFonts w:asciiTheme="minorHAnsi" w:hAnsiTheme="minorHAnsi"/>
          <w:szCs w:val="22"/>
        </w:rPr>
        <w:t xml:space="preserve">d’une enquête </w:t>
      </w:r>
      <w:r w:rsidR="00342991" w:rsidRPr="00A74928">
        <w:rPr>
          <w:rFonts w:asciiTheme="minorHAnsi" w:hAnsiTheme="minorHAnsi"/>
          <w:szCs w:val="22"/>
        </w:rPr>
        <w:t>spécifique</w:t>
      </w:r>
      <w:r w:rsidR="00D6010B" w:rsidRPr="00A74928">
        <w:rPr>
          <w:rFonts w:asciiTheme="minorHAnsi" w:hAnsiTheme="minorHAnsi"/>
          <w:szCs w:val="22"/>
        </w:rPr>
        <w:t xml:space="preserve"> (actuellement en cours d’étude</w:t>
      </w:r>
      <w:r w:rsidR="00B84150" w:rsidRPr="00A74928">
        <w:rPr>
          <w:rFonts w:asciiTheme="minorHAnsi" w:hAnsiTheme="minorHAnsi"/>
          <w:szCs w:val="22"/>
        </w:rPr>
        <w:t xml:space="preserve"> par les services de la Banque de France)</w:t>
      </w:r>
      <w:r w:rsidR="00D6010B" w:rsidRPr="00A74928">
        <w:rPr>
          <w:rFonts w:asciiTheme="minorHAnsi" w:hAnsiTheme="minorHAnsi"/>
          <w:szCs w:val="22"/>
        </w:rPr>
        <w:t>.</w:t>
      </w:r>
    </w:p>
    <w:p w:rsidR="00B6226E" w:rsidRPr="00A74928" w:rsidRDefault="00B6226E" w:rsidP="007506B0">
      <w:pPr>
        <w:rPr>
          <w:rFonts w:asciiTheme="minorHAnsi" w:hAnsiTheme="minorHAnsi"/>
          <w:szCs w:val="22"/>
        </w:rPr>
      </w:pPr>
    </w:p>
    <w:p w:rsidR="002D4115" w:rsidRPr="00A74928" w:rsidRDefault="007B75F3" w:rsidP="0040457A">
      <w:pPr>
        <w:spacing w:before="60"/>
        <w:outlineLvl w:val="2"/>
        <w:rPr>
          <w:rFonts w:asciiTheme="minorHAnsi" w:hAnsiTheme="minorHAnsi"/>
          <w:szCs w:val="22"/>
        </w:rPr>
      </w:pPr>
      <w:r w:rsidRPr="00A74928">
        <w:rPr>
          <w:rFonts w:asciiTheme="minorHAnsi" w:hAnsiTheme="minorHAnsi"/>
          <w:szCs w:val="22"/>
        </w:rPr>
        <w:t>Sur un</w:t>
      </w:r>
      <w:r w:rsidR="00D6010B" w:rsidRPr="00A74928">
        <w:rPr>
          <w:rFonts w:asciiTheme="minorHAnsi" w:hAnsiTheme="minorHAnsi"/>
          <w:szCs w:val="22"/>
        </w:rPr>
        <w:t xml:space="preserve"> plan général les variations d’</w:t>
      </w:r>
      <w:r w:rsidR="00DB560E" w:rsidRPr="00A74928">
        <w:rPr>
          <w:rFonts w:asciiTheme="minorHAnsi" w:hAnsiTheme="minorHAnsi"/>
          <w:szCs w:val="22"/>
        </w:rPr>
        <w:t xml:space="preserve">engagements </w:t>
      </w:r>
      <w:r w:rsidRPr="00A74928">
        <w:rPr>
          <w:rFonts w:asciiTheme="minorHAnsi" w:hAnsiTheme="minorHAnsi"/>
          <w:szCs w:val="22"/>
        </w:rPr>
        <w:t>h</w:t>
      </w:r>
      <w:r w:rsidR="002D4115" w:rsidRPr="00A74928">
        <w:rPr>
          <w:rFonts w:asciiTheme="minorHAnsi" w:hAnsiTheme="minorHAnsi"/>
          <w:szCs w:val="22"/>
        </w:rPr>
        <w:t xml:space="preserve">ors bilan </w:t>
      </w:r>
      <w:r w:rsidRPr="00A74928">
        <w:rPr>
          <w:rFonts w:asciiTheme="minorHAnsi" w:hAnsiTheme="minorHAnsi"/>
          <w:szCs w:val="22"/>
        </w:rPr>
        <w:t xml:space="preserve">de toute nature </w:t>
      </w:r>
      <w:r w:rsidR="002D4115" w:rsidRPr="00A74928">
        <w:rPr>
          <w:rFonts w:asciiTheme="minorHAnsi" w:hAnsiTheme="minorHAnsi"/>
          <w:szCs w:val="22"/>
        </w:rPr>
        <w:t>ne sont pas déclarables</w:t>
      </w:r>
      <w:r w:rsidRPr="00A74928">
        <w:rPr>
          <w:rFonts w:asciiTheme="minorHAnsi" w:hAnsiTheme="minorHAnsi"/>
          <w:szCs w:val="22"/>
        </w:rPr>
        <w:t xml:space="preserve"> dans le cadre du RTE, sauf l</w:t>
      </w:r>
      <w:r w:rsidR="00A83E69" w:rsidRPr="00A74928">
        <w:rPr>
          <w:rFonts w:asciiTheme="minorHAnsi" w:hAnsiTheme="minorHAnsi"/>
          <w:szCs w:val="22"/>
        </w:rPr>
        <w:t>e</w:t>
      </w:r>
      <w:r w:rsidR="00DB560E" w:rsidRPr="00A74928">
        <w:rPr>
          <w:rFonts w:asciiTheme="minorHAnsi" w:hAnsiTheme="minorHAnsi"/>
          <w:szCs w:val="22"/>
        </w:rPr>
        <w:t xml:space="preserve"> crédit-bail</w:t>
      </w:r>
      <w:r w:rsidRPr="00A74928">
        <w:rPr>
          <w:rFonts w:asciiTheme="minorHAnsi" w:hAnsiTheme="minorHAnsi"/>
          <w:szCs w:val="22"/>
        </w:rPr>
        <w:t xml:space="preserve"> dans le cas particulier où il peut être </w:t>
      </w:r>
      <w:r w:rsidR="00D6010B" w:rsidRPr="00A74928">
        <w:rPr>
          <w:rFonts w:asciiTheme="minorHAnsi" w:hAnsiTheme="minorHAnsi"/>
          <w:szCs w:val="22"/>
        </w:rPr>
        <w:t>raisonnablement assimilé</w:t>
      </w:r>
      <w:r w:rsidRPr="00A74928">
        <w:rPr>
          <w:rFonts w:asciiTheme="minorHAnsi" w:hAnsiTheme="minorHAnsi"/>
          <w:szCs w:val="22"/>
        </w:rPr>
        <w:t xml:space="preserve"> </w:t>
      </w:r>
      <w:r w:rsidR="00D6010B" w:rsidRPr="00A74928">
        <w:rPr>
          <w:rFonts w:asciiTheme="minorHAnsi" w:hAnsiTheme="minorHAnsi"/>
          <w:szCs w:val="22"/>
        </w:rPr>
        <w:t xml:space="preserve">à un service de leasing opérationnel </w:t>
      </w:r>
      <w:r w:rsidR="00C920DB" w:rsidRPr="00A74928">
        <w:rPr>
          <w:rFonts w:asciiTheme="minorHAnsi" w:hAnsiTheme="minorHAnsi"/>
          <w:szCs w:val="22"/>
        </w:rPr>
        <w:t>(</w:t>
      </w:r>
      <w:r w:rsidR="00D6010B" w:rsidRPr="00A74928">
        <w:rPr>
          <w:rFonts w:asciiTheme="minorHAnsi" w:hAnsiTheme="minorHAnsi"/>
          <w:szCs w:val="22"/>
        </w:rPr>
        <w:t xml:space="preserve">pour l’enregistrement des </w:t>
      </w:r>
      <w:r w:rsidR="00C920DB" w:rsidRPr="00A74928">
        <w:rPr>
          <w:rFonts w:asciiTheme="minorHAnsi" w:hAnsiTheme="minorHAnsi"/>
          <w:szCs w:val="22"/>
        </w:rPr>
        <w:t xml:space="preserve">dépenses </w:t>
      </w:r>
      <w:r w:rsidR="00D6010B" w:rsidRPr="00A74928">
        <w:rPr>
          <w:rFonts w:asciiTheme="minorHAnsi" w:hAnsiTheme="minorHAnsi"/>
          <w:szCs w:val="22"/>
        </w:rPr>
        <w:t>de loyers</w:t>
      </w:r>
      <w:r w:rsidR="00C920DB" w:rsidRPr="00A74928">
        <w:rPr>
          <w:rFonts w:asciiTheme="minorHAnsi" w:hAnsiTheme="minorHAnsi"/>
          <w:szCs w:val="22"/>
        </w:rPr>
        <w:t>)</w:t>
      </w:r>
      <w:r w:rsidR="00047715" w:rsidRPr="00A74928">
        <w:rPr>
          <w:rFonts w:asciiTheme="minorHAnsi" w:hAnsiTheme="minorHAnsi"/>
          <w:szCs w:val="22"/>
        </w:rPr>
        <w:t>.</w:t>
      </w:r>
    </w:p>
    <w:p w:rsidR="0007116B" w:rsidRPr="00A74928" w:rsidRDefault="0007116B" w:rsidP="006163D8">
      <w:pPr>
        <w:outlineLvl w:val="2"/>
        <w:rPr>
          <w:rFonts w:asciiTheme="minorHAnsi" w:hAnsiTheme="minorHAnsi"/>
          <w:szCs w:val="22"/>
        </w:rPr>
      </w:pPr>
    </w:p>
    <w:p w:rsidR="0007116B" w:rsidRPr="00A74928" w:rsidRDefault="00A74928" w:rsidP="00A74928">
      <w:pPr>
        <w:outlineLvl w:val="2"/>
        <w:rPr>
          <w:rFonts w:asciiTheme="minorHAnsi" w:hAnsiTheme="minorHAnsi" w:cs="Arial"/>
          <w:b/>
          <w:szCs w:val="22"/>
        </w:rPr>
      </w:pPr>
      <w:r>
        <w:rPr>
          <w:rFonts w:asciiTheme="minorHAnsi" w:hAnsiTheme="minorHAnsi"/>
          <w:szCs w:val="22"/>
        </w:rPr>
        <w:br w:type="page"/>
      </w:r>
      <w:r w:rsidR="00934DA2" w:rsidRPr="00A74928">
        <w:rPr>
          <w:rFonts w:asciiTheme="minorHAnsi" w:hAnsiTheme="minorHAnsi" w:cs="Arial"/>
          <w:b/>
          <w:szCs w:val="22"/>
        </w:rPr>
        <w:lastRenderedPageBreak/>
        <w:t>Principales rubriques</w:t>
      </w:r>
    </w:p>
    <w:p w:rsidR="00934DA2" w:rsidRPr="00A74928" w:rsidRDefault="00934DA2" w:rsidP="006163D8">
      <w:pPr>
        <w:outlineLvl w:val="2"/>
        <w:rPr>
          <w:rFonts w:asciiTheme="minorHAnsi" w:hAnsiTheme="minorHAnsi"/>
          <w:szCs w:val="22"/>
        </w:rPr>
      </w:pPr>
    </w:p>
    <w:p w:rsidR="001A289D" w:rsidRPr="00A74928" w:rsidRDefault="00177695" w:rsidP="001A289D">
      <w:pPr>
        <w:spacing w:before="60"/>
        <w:outlineLvl w:val="2"/>
        <w:rPr>
          <w:rFonts w:asciiTheme="minorHAnsi" w:hAnsiTheme="minorHAnsi"/>
          <w:szCs w:val="22"/>
        </w:rPr>
      </w:pPr>
      <w:r w:rsidRPr="00A74928">
        <w:rPr>
          <w:rFonts w:asciiTheme="minorHAnsi" w:hAnsiTheme="minorHAnsi"/>
          <w:szCs w:val="22"/>
        </w:rPr>
        <w:t>Définies</w:t>
      </w:r>
      <w:r w:rsidR="0007116B" w:rsidRPr="00A74928">
        <w:rPr>
          <w:rFonts w:asciiTheme="minorHAnsi" w:hAnsiTheme="minorHAnsi"/>
          <w:szCs w:val="22"/>
        </w:rPr>
        <w:t xml:space="preserve"> par le 6</w:t>
      </w:r>
      <w:r w:rsidR="0007116B" w:rsidRPr="00A74928">
        <w:rPr>
          <w:rFonts w:asciiTheme="minorHAnsi" w:hAnsiTheme="minorHAnsi"/>
          <w:szCs w:val="22"/>
          <w:vertAlign w:val="superscript"/>
        </w:rPr>
        <w:t>e</w:t>
      </w:r>
      <w:r w:rsidR="0007116B" w:rsidRPr="00A74928">
        <w:rPr>
          <w:rFonts w:asciiTheme="minorHAnsi" w:hAnsiTheme="minorHAnsi"/>
          <w:szCs w:val="22"/>
        </w:rPr>
        <w:t xml:space="preserve"> </w:t>
      </w:r>
      <w:r w:rsidRPr="00A74928">
        <w:rPr>
          <w:rFonts w:asciiTheme="minorHAnsi" w:hAnsiTheme="minorHAnsi"/>
          <w:szCs w:val="22"/>
        </w:rPr>
        <w:t xml:space="preserve">Manuel de la </w:t>
      </w:r>
      <w:r w:rsidR="007D691C" w:rsidRPr="00A74928">
        <w:rPr>
          <w:rFonts w:asciiTheme="minorHAnsi" w:hAnsiTheme="minorHAnsi"/>
          <w:szCs w:val="22"/>
        </w:rPr>
        <w:t xml:space="preserve">balance des paiements du FMI dans le cadre d’une cohérence avec le </w:t>
      </w:r>
      <w:r w:rsidR="0007116B" w:rsidRPr="00A74928">
        <w:rPr>
          <w:rFonts w:asciiTheme="minorHAnsi" w:hAnsiTheme="minorHAnsi"/>
          <w:szCs w:val="22"/>
        </w:rPr>
        <w:t xml:space="preserve">système de </w:t>
      </w:r>
      <w:r w:rsidR="007D691C" w:rsidRPr="00A74928">
        <w:rPr>
          <w:rFonts w:asciiTheme="minorHAnsi" w:hAnsiTheme="minorHAnsi"/>
          <w:szCs w:val="22"/>
        </w:rPr>
        <w:t>comptabilité</w:t>
      </w:r>
      <w:r w:rsidR="0007116B" w:rsidRPr="00A74928">
        <w:rPr>
          <w:rFonts w:asciiTheme="minorHAnsi" w:hAnsiTheme="minorHAnsi"/>
          <w:szCs w:val="22"/>
        </w:rPr>
        <w:t xml:space="preserve"> nationale, le</w:t>
      </w:r>
      <w:r w:rsidR="007D691C" w:rsidRPr="00A74928">
        <w:rPr>
          <w:rFonts w:asciiTheme="minorHAnsi" w:hAnsiTheme="minorHAnsi"/>
          <w:szCs w:val="22"/>
        </w:rPr>
        <w:t>s opérations à déclarer se</w:t>
      </w:r>
      <w:r w:rsidR="00934DA2" w:rsidRPr="00A74928">
        <w:rPr>
          <w:rFonts w:asciiTheme="minorHAnsi" w:hAnsiTheme="minorHAnsi"/>
          <w:szCs w:val="22"/>
        </w:rPr>
        <w:t xml:space="preserve"> répartissent</w:t>
      </w:r>
      <w:r w:rsidR="007D691C" w:rsidRPr="00A74928">
        <w:rPr>
          <w:rFonts w:asciiTheme="minorHAnsi" w:hAnsiTheme="minorHAnsi"/>
          <w:szCs w:val="22"/>
        </w:rPr>
        <w:t xml:space="preserve"> </w:t>
      </w:r>
      <w:r w:rsidR="0007116B" w:rsidRPr="00A74928">
        <w:rPr>
          <w:rFonts w:asciiTheme="minorHAnsi" w:hAnsiTheme="minorHAnsi"/>
          <w:szCs w:val="22"/>
        </w:rPr>
        <w:t>e</w:t>
      </w:r>
      <w:r w:rsidR="007D691C" w:rsidRPr="00A74928">
        <w:rPr>
          <w:rFonts w:asciiTheme="minorHAnsi" w:hAnsiTheme="minorHAnsi"/>
          <w:szCs w:val="22"/>
        </w:rPr>
        <w:t>ntre les transactions courantes (</w:t>
      </w:r>
      <w:r w:rsidR="001A289D" w:rsidRPr="00A74928">
        <w:rPr>
          <w:rFonts w:asciiTheme="minorHAnsi" w:hAnsiTheme="minorHAnsi"/>
          <w:szCs w:val="22"/>
        </w:rPr>
        <w:t>s</w:t>
      </w:r>
      <w:r w:rsidR="00934DA2" w:rsidRPr="00A74928">
        <w:rPr>
          <w:rFonts w:asciiTheme="minorHAnsi" w:hAnsiTheme="minorHAnsi"/>
          <w:szCs w:val="22"/>
        </w:rPr>
        <w:t>e subdivisant</w:t>
      </w:r>
      <w:r w:rsidR="001A289D" w:rsidRPr="00A74928">
        <w:rPr>
          <w:rFonts w:asciiTheme="minorHAnsi" w:hAnsiTheme="minorHAnsi"/>
          <w:szCs w:val="22"/>
        </w:rPr>
        <w:t xml:space="preserve"> ent</w:t>
      </w:r>
      <w:r w:rsidR="00B84150" w:rsidRPr="00A74928">
        <w:rPr>
          <w:rFonts w:asciiTheme="minorHAnsi" w:hAnsiTheme="minorHAnsi"/>
          <w:szCs w:val="22"/>
        </w:rPr>
        <w:t>r</w:t>
      </w:r>
      <w:r w:rsidR="001A289D" w:rsidRPr="00A74928">
        <w:rPr>
          <w:rFonts w:asciiTheme="minorHAnsi" w:hAnsiTheme="minorHAnsi"/>
          <w:szCs w:val="22"/>
        </w:rPr>
        <w:t xml:space="preserve">e biens, </w:t>
      </w:r>
      <w:r w:rsidR="007D691C" w:rsidRPr="00A74928">
        <w:rPr>
          <w:rFonts w:asciiTheme="minorHAnsi" w:hAnsiTheme="minorHAnsi"/>
          <w:szCs w:val="22"/>
        </w:rPr>
        <w:t>services</w:t>
      </w:r>
      <w:r w:rsidR="001A289D" w:rsidRPr="00A74928">
        <w:rPr>
          <w:rFonts w:asciiTheme="minorHAnsi" w:hAnsiTheme="minorHAnsi"/>
          <w:szCs w:val="22"/>
        </w:rPr>
        <w:t xml:space="preserve">, </w:t>
      </w:r>
      <w:r w:rsidR="007D691C" w:rsidRPr="00A74928">
        <w:rPr>
          <w:rFonts w:asciiTheme="minorHAnsi" w:hAnsiTheme="minorHAnsi"/>
          <w:szCs w:val="22"/>
        </w:rPr>
        <w:t>revenus</w:t>
      </w:r>
      <w:r w:rsidR="001A289D" w:rsidRPr="00A74928">
        <w:rPr>
          <w:rFonts w:asciiTheme="minorHAnsi" w:hAnsiTheme="minorHAnsi"/>
          <w:szCs w:val="22"/>
        </w:rPr>
        <w:t xml:space="preserve"> </w:t>
      </w:r>
      <w:r w:rsidR="007E13E0" w:rsidRPr="00A74928">
        <w:rPr>
          <w:rFonts w:asciiTheme="minorHAnsi" w:hAnsiTheme="minorHAnsi"/>
          <w:szCs w:val="22"/>
        </w:rPr>
        <w:t>primaires et secondaires</w:t>
      </w:r>
      <w:r w:rsidR="007D691C" w:rsidRPr="00A74928">
        <w:rPr>
          <w:rFonts w:asciiTheme="minorHAnsi" w:hAnsiTheme="minorHAnsi"/>
          <w:szCs w:val="22"/>
        </w:rPr>
        <w:t>), le</w:t>
      </w:r>
      <w:r w:rsidR="004A4B6C" w:rsidRPr="00A74928">
        <w:rPr>
          <w:rFonts w:asciiTheme="minorHAnsi" w:hAnsiTheme="minorHAnsi"/>
          <w:szCs w:val="22"/>
        </w:rPr>
        <w:t>s transferts</w:t>
      </w:r>
      <w:r w:rsidR="007D691C" w:rsidRPr="00A74928">
        <w:rPr>
          <w:rFonts w:asciiTheme="minorHAnsi" w:hAnsiTheme="minorHAnsi"/>
          <w:szCs w:val="22"/>
        </w:rPr>
        <w:t xml:space="preserve"> </w:t>
      </w:r>
      <w:r w:rsidR="00602C8B" w:rsidRPr="00A74928">
        <w:rPr>
          <w:rFonts w:asciiTheme="minorHAnsi" w:hAnsiTheme="minorHAnsi"/>
          <w:szCs w:val="22"/>
        </w:rPr>
        <w:t>en</w:t>
      </w:r>
      <w:r w:rsidR="007D691C" w:rsidRPr="00A74928">
        <w:rPr>
          <w:rFonts w:asciiTheme="minorHAnsi" w:hAnsiTheme="minorHAnsi"/>
          <w:szCs w:val="22"/>
        </w:rPr>
        <w:t xml:space="preserve"> capital et les investissements directs. Un</w:t>
      </w:r>
      <w:r w:rsidR="001A289D" w:rsidRPr="00A74928">
        <w:rPr>
          <w:rFonts w:asciiTheme="minorHAnsi" w:hAnsiTheme="minorHAnsi"/>
          <w:szCs w:val="22"/>
        </w:rPr>
        <w:t>e no</w:t>
      </w:r>
      <w:r w:rsidR="007D691C" w:rsidRPr="00A74928">
        <w:rPr>
          <w:rFonts w:asciiTheme="minorHAnsi" w:hAnsiTheme="minorHAnsi"/>
          <w:szCs w:val="22"/>
        </w:rPr>
        <w:t>me</w:t>
      </w:r>
      <w:r w:rsidR="001A289D" w:rsidRPr="00A74928">
        <w:rPr>
          <w:rFonts w:asciiTheme="minorHAnsi" w:hAnsiTheme="minorHAnsi"/>
          <w:szCs w:val="22"/>
        </w:rPr>
        <w:t>nclature d’</w:t>
      </w:r>
      <w:r w:rsidR="007D691C" w:rsidRPr="00A74928">
        <w:rPr>
          <w:rFonts w:asciiTheme="minorHAnsi" w:hAnsiTheme="minorHAnsi"/>
          <w:szCs w:val="22"/>
        </w:rPr>
        <w:t>opérations</w:t>
      </w:r>
      <w:r w:rsidR="001A289D" w:rsidRPr="00A74928">
        <w:rPr>
          <w:rFonts w:asciiTheme="minorHAnsi" w:hAnsiTheme="minorHAnsi"/>
          <w:szCs w:val="22"/>
        </w:rPr>
        <w:t xml:space="preserve"> (</w:t>
      </w:r>
      <w:r w:rsidR="007D691C" w:rsidRPr="00A74928">
        <w:rPr>
          <w:rFonts w:asciiTheme="minorHAnsi" w:hAnsiTheme="minorHAnsi"/>
          <w:szCs w:val="22"/>
        </w:rPr>
        <w:t>cf.</w:t>
      </w:r>
      <w:r w:rsidR="001A289D" w:rsidRPr="00A74928">
        <w:rPr>
          <w:rFonts w:asciiTheme="minorHAnsi" w:hAnsiTheme="minorHAnsi"/>
          <w:szCs w:val="22"/>
        </w:rPr>
        <w:t xml:space="preserve"> paragraphe 3.)</w:t>
      </w:r>
      <w:r w:rsidR="00E160DD" w:rsidRPr="00A74928">
        <w:rPr>
          <w:rFonts w:asciiTheme="minorHAnsi" w:hAnsiTheme="minorHAnsi"/>
          <w:szCs w:val="22"/>
        </w:rPr>
        <w:t xml:space="preserve"> permet</w:t>
      </w:r>
      <w:r w:rsidR="007D691C" w:rsidRPr="00A74928">
        <w:rPr>
          <w:rFonts w:asciiTheme="minorHAnsi" w:hAnsiTheme="minorHAnsi"/>
          <w:szCs w:val="22"/>
        </w:rPr>
        <w:t xml:space="preserve"> aux DDG d’identifier les transactions qui les concernent et de l</w:t>
      </w:r>
      <w:r w:rsidR="00602C8B" w:rsidRPr="00A74928">
        <w:rPr>
          <w:rFonts w:asciiTheme="minorHAnsi" w:hAnsiTheme="minorHAnsi"/>
          <w:szCs w:val="22"/>
        </w:rPr>
        <w:t>es répartir entre les différent</w:t>
      </w:r>
      <w:r w:rsidR="007D691C" w:rsidRPr="00A74928">
        <w:rPr>
          <w:rFonts w:asciiTheme="minorHAnsi" w:hAnsiTheme="minorHAnsi"/>
          <w:szCs w:val="22"/>
        </w:rPr>
        <w:t>s postes.</w:t>
      </w:r>
    </w:p>
    <w:p w:rsidR="001A289D" w:rsidRPr="00A74928" w:rsidRDefault="001A289D" w:rsidP="006163D8">
      <w:pPr>
        <w:outlineLvl w:val="2"/>
        <w:rPr>
          <w:rFonts w:asciiTheme="minorHAnsi" w:hAnsiTheme="minorHAnsi"/>
          <w:szCs w:val="22"/>
        </w:rPr>
      </w:pPr>
    </w:p>
    <w:p w:rsidR="002C3436" w:rsidRPr="00A74928" w:rsidRDefault="005E4708" w:rsidP="00BC7054">
      <w:pPr>
        <w:numPr>
          <w:ilvl w:val="0"/>
          <w:numId w:val="31"/>
        </w:numPr>
        <w:spacing w:before="200"/>
        <w:outlineLvl w:val="2"/>
        <w:rPr>
          <w:rFonts w:asciiTheme="minorHAnsi" w:hAnsiTheme="minorHAnsi"/>
          <w:szCs w:val="22"/>
        </w:rPr>
      </w:pPr>
      <w:r w:rsidRPr="00A74928">
        <w:rPr>
          <w:rFonts w:asciiTheme="minorHAnsi" w:hAnsiTheme="minorHAnsi"/>
          <w:szCs w:val="22"/>
          <w:u w:val="single"/>
        </w:rPr>
        <w:t>Les biens</w:t>
      </w:r>
      <w:r w:rsidR="00B84150" w:rsidRPr="00A74928">
        <w:rPr>
          <w:rFonts w:asciiTheme="minorHAnsi" w:hAnsiTheme="minorHAnsi"/>
          <w:szCs w:val="22"/>
        </w:rPr>
        <w:t xml:space="preserve"> (sans les exportations et les importations </w:t>
      </w:r>
      <w:r w:rsidR="00B812B1" w:rsidRPr="00A74928">
        <w:rPr>
          <w:rFonts w:asciiTheme="minorHAnsi" w:hAnsiTheme="minorHAnsi"/>
          <w:szCs w:val="22"/>
        </w:rPr>
        <w:t>au sens douanier</w:t>
      </w:r>
      <w:r w:rsidR="00B84150" w:rsidRPr="00A74928">
        <w:rPr>
          <w:rFonts w:asciiTheme="minorHAnsi" w:hAnsiTheme="minorHAnsi"/>
          <w:szCs w:val="22"/>
        </w:rPr>
        <w:t xml:space="preserve"> non déclarables) se limitent au négoce international</w:t>
      </w:r>
      <w:r w:rsidR="00F80AA3" w:rsidRPr="00A74928">
        <w:rPr>
          <w:rStyle w:val="Appelnotedebasdep"/>
          <w:rFonts w:asciiTheme="minorHAnsi" w:hAnsiTheme="minorHAnsi"/>
          <w:szCs w:val="22"/>
        </w:rPr>
        <w:footnoteReference w:id="5"/>
      </w:r>
      <w:r w:rsidR="00B84150" w:rsidRPr="00A74928">
        <w:rPr>
          <w:rFonts w:asciiTheme="minorHAnsi" w:hAnsiTheme="minorHAnsi"/>
          <w:szCs w:val="22"/>
        </w:rPr>
        <w:t xml:space="preserve"> et aux achats de carburant des transporteurs </w:t>
      </w:r>
      <w:r w:rsidR="00842D4B" w:rsidRPr="00A74928">
        <w:rPr>
          <w:rFonts w:asciiTheme="minorHAnsi" w:hAnsiTheme="minorHAnsi"/>
          <w:szCs w:val="22"/>
        </w:rPr>
        <w:t xml:space="preserve">maritimes et aériens </w:t>
      </w:r>
      <w:r w:rsidR="00B84150" w:rsidRPr="00A74928">
        <w:rPr>
          <w:rFonts w:asciiTheme="minorHAnsi" w:hAnsiTheme="minorHAnsi"/>
          <w:szCs w:val="22"/>
        </w:rPr>
        <w:t>dans les ports et les aéroports.</w:t>
      </w:r>
    </w:p>
    <w:p w:rsidR="001A289D" w:rsidRPr="00A74928" w:rsidRDefault="005E4708" w:rsidP="00B221FA">
      <w:pPr>
        <w:numPr>
          <w:ilvl w:val="0"/>
          <w:numId w:val="31"/>
        </w:numPr>
        <w:spacing w:before="140"/>
        <w:ind w:left="714" w:hanging="357"/>
        <w:outlineLvl w:val="2"/>
        <w:rPr>
          <w:rFonts w:asciiTheme="minorHAnsi" w:hAnsiTheme="minorHAnsi"/>
          <w:szCs w:val="22"/>
        </w:rPr>
      </w:pPr>
      <w:r w:rsidRPr="00A74928">
        <w:rPr>
          <w:rFonts w:asciiTheme="minorHAnsi" w:hAnsiTheme="minorHAnsi"/>
          <w:szCs w:val="22"/>
          <w:u w:val="single"/>
        </w:rPr>
        <w:t>Les services</w:t>
      </w:r>
      <w:r w:rsidR="001A289D" w:rsidRPr="00A74928">
        <w:rPr>
          <w:rFonts w:asciiTheme="minorHAnsi" w:hAnsiTheme="minorHAnsi"/>
          <w:szCs w:val="22"/>
        </w:rPr>
        <w:t xml:space="preserve"> co</w:t>
      </w:r>
      <w:r w:rsidR="007D691C" w:rsidRPr="00A74928">
        <w:rPr>
          <w:rFonts w:asciiTheme="minorHAnsi" w:hAnsiTheme="minorHAnsi"/>
          <w:szCs w:val="22"/>
        </w:rPr>
        <w:t>rrespondent</w:t>
      </w:r>
      <w:r w:rsidR="001A289D" w:rsidRPr="00A74928">
        <w:rPr>
          <w:rFonts w:asciiTheme="minorHAnsi" w:hAnsiTheme="minorHAnsi"/>
          <w:szCs w:val="22"/>
        </w:rPr>
        <w:t xml:space="preserve"> à de</w:t>
      </w:r>
      <w:r w:rsidR="007D691C" w:rsidRPr="00A74928">
        <w:rPr>
          <w:rFonts w:asciiTheme="minorHAnsi" w:hAnsiTheme="minorHAnsi"/>
          <w:szCs w:val="22"/>
        </w:rPr>
        <w:t xml:space="preserve">s échanges caractérisés </w:t>
      </w:r>
      <w:r w:rsidR="001A289D" w:rsidRPr="00A74928">
        <w:rPr>
          <w:rFonts w:asciiTheme="minorHAnsi" w:hAnsiTheme="minorHAnsi"/>
          <w:szCs w:val="22"/>
        </w:rPr>
        <w:t xml:space="preserve">par </w:t>
      </w:r>
      <w:r w:rsidR="007D691C" w:rsidRPr="00A74928">
        <w:rPr>
          <w:rFonts w:asciiTheme="minorHAnsi" w:hAnsiTheme="minorHAnsi"/>
          <w:szCs w:val="22"/>
        </w:rPr>
        <w:t>l</w:t>
      </w:r>
      <w:r w:rsidR="001A289D" w:rsidRPr="00A74928">
        <w:rPr>
          <w:rFonts w:asciiTheme="minorHAnsi" w:hAnsiTheme="minorHAnsi"/>
          <w:szCs w:val="22"/>
        </w:rPr>
        <w:t xml:space="preserve">a mise à disposition par un </w:t>
      </w:r>
      <w:r w:rsidR="007D691C" w:rsidRPr="00A74928">
        <w:rPr>
          <w:rFonts w:asciiTheme="minorHAnsi" w:hAnsiTheme="minorHAnsi"/>
          <w:szCs w:val="22"/>
        </w:rPr>
        <w:t>prestata</w:t>
      </w:r>
      <w:r w:rsidR="001A289D" w:rsidRPr="00A74928">
        <w:rPr>
          <w:rFonts w:asciiTheme="minorHAnsi" w:hAnsiTheme="minorHAnsi"/>
          <w:szCs w:val="22"/>
        </w:rPr>
        <w:t>ire à u</w:t>
      </w:r>
      <w:r w:rsidR="007D691C" w:rsidRPr="00A74928">
        <w:rPr>
          <w:rFonts w:asciiTheme="minorHAnsi" w:hAnsiTheme="minorHAnsi"/>
          <w:szCs w:val="22"/>
        </w:rPr>
        <w:t>n bénéficiaire de</w:t>
      </w:r>
      <w:r w:rsidR="001A289D" w:rsidRPr="00A74928">
        <w:rPr>
          <w:rFonts w:asciiTheme="minorHAnsi" w:hAnsiTheme="minorHAnsi"/>
          <w:szCs w:val="22"/>
        </w:rPr>
        <w:t xml:space="preserve"> capacités </w:t>
      </w:r>
      <w:r w:rsidR="007D691C" w:rsidRPr="00A74928">
        <w:rPr>
          <w:rFonts w:asciiTheme="minorHAnsi" w:hAnsiTheme="minorHAnsi"/>
          <w:szCs w:val="22"/>
        </w:rPr>
        <w:t>techniques</w:t>
      </w:r>
      <w:r w:rsidR="001A289D" w:rsidRPr="00A74928">
        <w:rPr>
          <w:rFonts w:asciiTheme="minorHAnsi" w:hAnsiTheme="minorHAnsi"/>
          <w:szCs w:val="22"/>
        </w:rPr>
        <w:t xml:space="preserve"> ou </w:t>
      </w:r>
      <w:r w:rsidR="007D691C" w:rsidRPr="00A74928">
        <w:rPr>
          <w:rFonts w:asciiTheme="minorHAnsi" w:hAnsiTheme="minorHAnsi"/>
          <w:szCs w:val="22"/>
        </w:rPr>
        <w:t>intellectuelles, distinguées selon leur nature économique</w:t>
      </w:r>
      <w:r w:rsidR="001A289D" w:rsidRPr="00A74928">
        <w:rPr>
          <w:rFonts w:asciiTheme="minorHAnsi" w:hAnsiTheme="minorHAnsi"/>
          <w:szCs w:val="22"/>
        </w:rPr>
        <w:t xml:space="preserve">. </w:t>
      </w:r>
      <w:r w:rsidR="007D691C" w:rsidRPr="00A74928">
        <w:rPr>
          <w:rFonts w:asciiTheme="minorHAnsi" w:hAnsiTheme="minorHAnsi"/>
          <w:szCs w:val="22"/>
        </w:rPr>
        <w:t xml:space="preserve">Parmi les </w:t>
      </w:r>
      <w:r w:rsidR="006150F0" w:rsidRPr="00A74928">
        <w:rPr>
          <w:rFonts w:asciiTheme="minorHAnsi" w:hAnsiTheme="minorHAnsi"/>
          <w:szCs w:val="22"/>
        </w:rPr>
        <w:t xml:space="preserve">principales </w:t>
      </w:r>
      <w:r w:rsidR="007D691C" w:rsidRPr="00A74928">
        <w:rPr>
          <w:rFonts w:asciiTheme="minorHAnsi" w:hAnsiTheme="minorHAnsi"/>
          <w:szCs w:val="22"/>
        </w:rPr>
        <w:t>rubriques</w:t>
      </w:r>
      <w:r w:rsidR="006150F0" w:rsidRPr="00A74928">
        <w:rPr>
          <w:rFonts w:asciiTheme="minorHAnsi" w:hAnsiTheme="minorHAnsi"/>
          <w:szCs w:val="22"/>
        </w:rPr>
        <w:t xml:space="preserve"> pouvant donner lieu à déclaration </w:t>
      </w:r>
      <w:r w:rsidR="001A289D" w:rsidRPr="00A74928">
        <w:rPr>
          <w:rFonts w:asciiTheme="minorHAnsi" w:hAnsiTheme="minorHAnsi"/>
          <w:szCs w:val="22"/>
        </w:rPr>
        <w:t>figure</w:t>
      </w:r>
      <w:r w:rsidR="006150F0" w:rsidRPr="00A74928">
        <w:rPr>
          <w:rFonts w:asciiTheme="minorHAnsi" w:hAnsiTheme="minorHAnsi"/>
          <w:szCs w:val="22"/>
        </w:rPr>
        <w:t xml:space="preserve">nt notamment </w:t>
      </w:r>
      <w:r w:rsidR="002C3436" w:rsidRPr="00A74928">
        <w:rPr>
          <w:rFonts w:asciiTheme="minorHAnsi" w:hAnsiTheme="minorHAnsi"/>
          <w:szCs w:val="22"/>
        </w:rPr>
        <w:t>le travail à façon (</w:t>
      </w:r>
      <w:r w:rsidR="00116825" w:rsidRPr="00A74928">
        <w:rPr>
          <w:rFonts w:asciiTheme="minorHAnsi" w:hAnsiTheme="minorHAnsi"/>
          <w:szCs w:val="22"/>
        </w:rPr>
        <w:t xml:space="preserve">sous-traitance industrielle et </w:t>
      </w:r>
      <w:r w:rsidR="00B84150" w:rsidRPr="00A74928">
        <w:rPr>
          <w:rFonts w:asciiTheme="minorHAnsi" w:hAnsiTheme="minorHAnsi"/>
          <w:szCs w:val="22"/>
        </w:rPr>
        <w:t>transformation de biens</w:t>
      </w:r>
      <w:r w:rsidR="002C3436" w:rsidRPr="00A74928">
        <w:rPr>
          <w:rFonts w:asciiTheme="minorHAnsi" w:hAnsiTheme="minorHAnsi"/>
          <w:szCs w:val="22"/>
        </w:rPr>
        <w:t xml:space="preserve">), </w:t>
      </w:r>
      <w:r w:rsidR="00B812B1" w:rsidRPr="00A74928">
        <w:rPr>
          <w:rFonts w:asciiTheme="minorHAnsi" w:hAnsiTheme="minorHAnsi"/>
          <w:szCs w:val="22"/>
        </w:rPr>
        <w:t xml:space="preserve">la maintenance et la réparation, </w:t>
      </w:r>
      <w:r w:rsidR="006150F0" w:rsidRPr="00A74928">
        <w:rPr>
          <w:rFonts w:asciiTheme="minorHAnsi" w:hAnsiTheme="minorHAnsi"/>
          <w:szCs w:val="22"/>
        </w:rPr>
        <w:t>les transports</w:t>
      </w:r>
      <w:r w:rsidR="00540124" w:rsidRPr="00A74928">
        <w:rPr>
          <w:rFonts w:asciiTheme="minorHAnsi" w:hAnsiTheme="minorHAnsi"/>
          <w:szCs w:val="22"/>
        </w:rPr>
        <w:t xml:space="preserve"> sous toutes leurs formes</w:t>
      </w:r>
      <w:r w:rsidR="00540124" w:rsidRPr="00A74928">
        <w:rPr>
          <w:rStyle w:val="Appelnotedebasdep"/>
          <w:rFonts w:asciiTheme="minorHAnsi" w:hAnsiTheme="minorHAnsi"/>
          <w:szCs w:val="22"/>
        </w:rPr>
        <w:footnoteReference w:id="6"/>
      </w:r>
      <w:r w:rsidR="006150F0" w:rsidRPr="00A74928">
        <w:rPr>
          <w:rFonts w:asciiTheme="minorHAnsi" w:hAnsiTheme="minorHAnsi"/>
          <w:szCs w:val="22"/>
        </w:rPr>
        <w:t>, la construction, l’assurance</w:t>
      </w:r>
      <w:r w:rsidR="00971D0D" w:rsidRPr="00A74928">
        <w:rPr>
          <w:rFonts w:asciiTheme="minorHAnsi" w:hAnsiTheme="minorHAnsi"/>
          <w:szCs w:val="22"/>
        </w:rPr>
        <w:t xml:space="preserve"> (risques divers, vie et marchandises</w:t>
      </w:r>
      <w:r w:rsidR="00C02990" w:rsidRPr="00A74928">
        <w:rPr>
          <w:rFonts w:asciiTheme="minorHAnsi" w:hAnsiTheme="minorHAnsi"/>
          <w:szCs w:val="22"/>
        </w:rPr>
        <w:t xml:space="preserve"> notamment</w:t>
      </w:r>
      <w:r w:rsidR="00971D0D" w:rsidRPr="00A74928">
        <w:rPr>
          <w:rFonts w:asciiTheme="minorHAnsi" w:hAnsiTheme="minorHAnsi"/>
          <w:szCs w:val="22"/>
        </w:rPr>
        <w:t>)</w:t>
      </w:r>
      <w:r w:rsidR="006150F0" w:rsidRPr="00A74928">
        <w:rPr>
          <w:rFonts w:asciiTheme="minorHAnsi" w:hAnsiTheme="minorHAnsi"/>
          <w:szCs w:val="22"/>
        </w:rPr>
        <w:t xml:space="preserve">, </w:t>
      </w:r>
      <w:r w:rsidR="00C02990" w:rsidRPr="00A74928">
        <w:rPr>
          <w:rFonts w:asciiTheme="minorHAnsi" w:hAnsiTheme="minorHAnsi"/>
          <w:szCs w:val="22"/>
        </w:rPr>
        <w:t xml:space="preserve">les droits de la propriété intellectuelle, </w:t>
      </w:r>
      <w:r w:rsidR="006150F0" w:rsidRPr="00A74928">
        <w:rPr>
          <w:rFonts w:asciiTheme="minorHAnsi" w:hAnsiTheme="minorHAnsi"/>
          <w:szCs w:val="22"/>
        </w:rPr>
        <w:t>les services de télécommunication et</w:t>
      </w:r>
      <w:r w:rsidR="001A289D" w:rsidRPr="00A74928">
        <w:rPr>
          <w:rFonts w:asciiTheme="minorHAnsi" w:hAnsiTheme="minorHAnsi"/>
          <w:szCs w:val="22"/>
        </w:rPr>
        <w:t xml:space="preserve"> d’information, l</w:t>
      </w:r>
      <w:r w:rsidR="006150F0" w:rsidRPr="00A74928">
        <w:rPr>
          <w:rFonts w:asciiTheme="minorHAnsi" w:hAnsiTheme="minorHAnsi"/>
          <w:szCs w:val="22"/>
        </w:rPr>
        <w:t xml:space="preserve">a recherche-développement, </w:t>
      </w:r>
      <w:r w:rsidR="001A289D" w:rsidRPr="00A74928">
        <w:rPr>
          <w:rFonts w:asciiTheme="minorHAnsi" w:hAnsiTheme="minorHAnsi"/>
          <w:szCs w:val="22"/>
        </w:rPr>
        <w:t>le co</w:t>
      </w:r>
      <w:r w:rsidR="006150F0" w:rsidRPr="00A74928">
        <w:rPr>
          <w:rFonts w:asciiTheme="minorHAnsi" w:hAnsiTheme="minorHAnsi"/>
          <w:szCs w:val="22"/>
        </w:rPr>
        <w:t>nseil, les services techniques</w:t>
      </w:r>
      <w:r w:rsidR="001A289D" w:rsidRPr="00A74928">
        <w:rPr>
          <w:rFonts w:asciiTheme="minorHAnsi" w:hAnsiTheme="minorHAnsi"/>
          <w:szCs w:val="22"/>
        </w:rPr>
        <w:t xml:space="preserve"> </w:t>
      </w:r>
      <w:r w:rsidR="006150F0" w:rsidRPr="00A74928">
        <w:rPr>
          <w:rFonts w:asciiTheme="minorHAnsi" w:hAnsiTheme="minorHAnsi"/>
          <w:szCs w:val="22"/>
        </w:rPr>
        <w:t>spécialisés</w:t>
      </w:r>
      <w:r w:rsidR="001A289D" w:rsidRPr="00A74928">
        <w:rPr>
          <w:rFonts w:asciiTheme="minorHAnsi" w:hAnsiTheme="minorHAnsi"/>
          <w:szCs w:val="22"/>
        </w:rPr>
        <w:t xml:space="preserve"> </w:t>
      </w:r>
      <w:r w:rsidR="006150F0" w:rsidRPr="00A74928">
        <w:rPr>
          <w:rFonts w:asciiTheme="minorHAnsi" w:hAnsiTheme="minorHAnsi"/>
          <w:szCs w:val="22"/>
        </w:rPr>
        <w:t>pour les</w:t>
      </w:r>
      <w:r w:rsidR="001A289D" w:rsidRPr="00A74928">
        <w:rPr>
          <w:rFonts w:asciiTheme="minorHAnsi" w:hAnsiTheme="minorHAnsi"/>
          <w:szCs w:val="22"/>
        </w:rPr>
        <w:t xml:space="preserve"> entreprises, le</w:t>
      </w:r>
      <w:r w:rsidR="006150F0" w:rsidRPr="00A74928">
        <w:rPr>
          <w:rFonts w:asciiTheme="minorHAnsi" w:hAnsiTheme="minorHAnsi"/>
          <w:szCs w:val="22"/>
        </w:rPr>
        <w:t xml:space="preserve">s services </w:t>
      </w:r>
      <w:r w:rsidR="00C02990" w:rsidRPr="00A74928">
        <w:rPr>
          <w:rFonts w:asciiTheme="minorHAnsi" w:hAnsiTheme="minorHAnsi"/>
          <w:szCs w:val="22"/>
        </w:rPr>
        <w:t>audiovisuels</w:t>
      </w:r>
      <w:r w:rsidR="00A20152" w:rsidRPr="00A74928">
        <w:rPr>
          <w:rFonts w:asciiTheme="minorHAnsi" w:hAnsiTheme="minorHAnsi"/>
          <w:szCs w:val="22"/>
        </w:rPr>
        <w:t>,</w:t>
      </w:r>
      <w:r w:rsidR="00C02990" w:rsidRPr="00A74928">
        <w:rPr>
          <w:rFonts w:asciiTheme="minorHAnsi" w:hAnsiTheme="minorHAnsi"/>
          <w:szCs w:val="22"/>
        </w:rPr>
        <w:t xml:space="preserve"> </w:t>
      </w:r>
      <w:r w:rsidR="006150F0" w:rsidRPr="00A74928">
        <w:rPr>
          <w:rFonts w:asciiTheme="minorHAnsi" w:hAnsiTheme="minorHAnsi"/>
          <w:szCs w:val="22"/>
        </w:rPr>
        <w:t>culturels, d’éducation et de santé.</w:t>
      </w:r>
    </w:p>
    <w:p w:rsidR="001A289D" w:rsidRPr="00A74928" w:rsidRDefault="005E4708" w:rsidP="00B221FA">
      <w:pPr>
        <w:numPr>
          <w:ilvl w:val="0"/>
          <w:numId w:val="31"/>
        </w:numPr>
        <w:spacing w:before="140"/>
        <w:ind w:left="714" w:hanging="357"/>
        <w:outlineLvl w:val="2"/>
        <w:rPr>
          <w:rFonts w:asciiTheme="minorHAnsi" w:hAnsiTheme="minorHAnsi"/>
          <w:szCs w:val="22"/>
        </w:rPr>
      </w:pPr>
      <w:r w:rsidRPr="00A74928">
        <w:rPr>
          <w:rFonts w:asciiTheme="minorHAnsi" w:hAnsiTheme="minorHAnsi"/>
          <w:szCs w:val="22"/>
          <w:u w:val="single"/>
        </w:rPr>
        <w:t>Les revenus</w:t>
      </w:r>
      <w:r w:rsidR="00E160DD" w:rsidRPr="00A74928">
        <w:rPr>
          <w:rFonts w:asciiTheme="minorHAnsi" w:hAnsiTheme="minorHAnsi"/>
          <w:szCs w:val="22"/>
          <w:u w:val="single"/>
        </w:rPr>
        <w:t xml:space="preserve"> </w:t>
      </w:r>
      <w:r w:rsidR="007E13E0" w:rsidRPr="00A74928">
        <w:rPr>
          <w:rFonts w:asciiTheme="minorHAnsi" w:hAnsiTheme="minorHAnsi"/>
          <w:szCs w:val="22"/>
          <w:u w:val="single"/>
        </w:rPr>
        <w:t>primaires</w:t>
      </w:r>
      <w:r w:rsidR="007E13E0" w:rsidRPr="00A74928">
        <w:rPr>
          <w:rFonts w:asciiTheme="minorHAnsi" w:hAnsiTheme="minorHAnsi"/>
          <w:szCs w:val="22"/>
        </w:rPr>
        <w:t xml:space="preserve"> </w:t>
      </w:r>
      <w:r w:rsidR="00E160DD" w:rsidRPr="00A74928">
        <w:rPr>
          <w:rFonts w:asciiTheme="minorHAnsi" w:hAnsiTheme="minorHAnsi"/>
          <w:szCs w:val="22"/>
        </w:rPr>
        <w:t xml:space="preserve">sont </w:t>
      </w:r>
      <w:r w:rsidR="006150F0" w:rsidRPr="00A74928">
        <w:rPr>
          <w:rFonts w:asciiTheme="minorHAnsi" w:hAnsiTheme="minorHAnsi"/>
          <w:szCs w:val="22"/>
        </w:rPr>
        <w:t>constitués</w:t>
      </w:r>
      <w:r w:rsidR="00E160DD" w:rsidRPr="00A74928">
        <w:rPr>
          <w:rFonts w:asciiTheme="minorHAnsi" w:hAnsiTheme="minorHAnsi"/>
          <w:szCs w:val="22"/>
        </w:rPr>
        <w:t xml:space="preserve"> </w:t>
      </w:r>
      <w:r w:rsidR="006150F0" w:rsidRPr="00A74928">
        <w:rPr>
          <w:rFonts w:asciiTheme="minorHAnsi" w:hAnsiTheme="minorHAnsi"/>
          <w:szCs w:val="22"/>
        </w:rPr>
        <w:t xml:space="preserve">essentiellement </w:t>
      </w:r>
      <w:r w:rsidR="00E160DD" w:rsidRPr="00A74928">
        <w:rPr>
          <w:rFonts w:asciiTheme="minorHAnsi" w:hAnsiTheme="minorHAnsi"/>
          <w:szCs w:val="22"/>
        </w:rPr>
        <w:t>de</w:t>
      </w:r>
      <w:r w:rsidR="006150F0" w:rsidRPr="00A74928">
        <w:rPr>
          <w:rFonts w:asciiTheme="minorHAnsi" w:hAnsiTheme="minorHAnsi"/>
          <w:szCs w:val="22"/>
        </w:rPr>
        <w:t>s</w:t>
      </w:r>
      <w:r w:rsidR="00E160DD" w:rsidRPr="00A74928">
        <w:rPr>
          <w:rFonts w:asciiTheme="minorHAnsi" w:hAnsiTheme="minorHAnsi"/>
          <w:szCs w:val="22"/>
        </w:rPr>
        <w:t xml:space="preserve"> </w:t>
      </w:r>
      <w:r w:rsidR="006150F0" w:rsidRPr="00A74928">
        <w:rPr>
          <w:rFonts w:asciiTheme="minorHAnsi" w:hAnsiTheme="minorHAnsi"/>
          <w:szCs w:val="22"/>
        </w:rPr>
        <w:t xml:space="preserve">revenus </w:t>
      </w:r>
      <w:r w:rsidR="00E160DD" w:rsidRPr="00A74928">
        <w:rPr>
          <w:rFonts w:asciiTheme="minorHAnsi" w:hAnsiTheme="minorHAnsi"/>
          <w:szCs w:val="22"/>
        </w:rPr>
        <w:t xml:space="preserve">liés aux </w:t>
      </w:r>
      <w:r w:rsidR="006150F0" w:rsidRPr="00A74928">
        <w:rPr>
          <w:rFonts w:asciiTheme="minorHAnsi" w:hAnsiTheme="minorHAnsi"/>
          <w:szCs w:val="22"/>
        </w:rPr>
        <w:t>titres de participation (dividendes reçus ou versés sur investissements</w:t>
      </w:r>
      <w:r w:rsidR="00E160DD" w:rsidRPr="00A74928">
        <w:rPr>
          <w:rFonts w:asciiTheme="minorHAnsi" w:hAnsiTheme="minorHAnsi"/>
          <w:szCs w:val="22"/>
        </w:rPr>
        <w:t xml:space="preserve"> </w:t>
      </w:r>
      <w:r w:rsidR="006150F0" w:rsidRPr="00A74928">
        <w:rPr>
          <w:rFonts w:asciiTheme="minorHAnsi" w:hAnsiTheme="minorHAnsi"/>
          <w:szCs w:val="22"/>
        </w:rPr>
        <w:t>directs</w:t>
      </w:r>
      <w:r w:rsidR="00FE6AC7" w:rsidRPr="00A74928">
        <w:rPr>
          <w:rFonts w:asciiTheme="minorHAnsi" w:hAnsiTheme="minorHAnsi"/>
          <w:szCs w:val="22"/>
        </w:rPr>
        <w:t>)</w:t>
      </w:r>
      <w:r w:rsidR="007E13E0" w:rsidRPr="00A74928">
        <w:rPr>
          <w:rFonts w:asciiTheme="minorHAnsi" w:hAnsiTheme="minorHAnsi"/>
          <w:szCs w:val="22"/>
        </w:rPr>
        <w:t xml:space="preserve"> et des </w:t>
      </w:r>
      <w:r w:rsidR="006150F0" w:rsidRPr="00A74928">
        <w:rPr>
          <w:rFonts w:asciiTheme="minorHAnsi" w:hAnsiTheme="minorHAnsi"/>
          <w:szCs w:val="22"/>
        </w:rPr>
        <w:t>revenus</w:t>
      </w:r>
      <w:r w:rsidR="00E160DD" w:rsidRPr="00A74928">
        <w:rPr>
          <w:rFonts w:asciiTheme="minorHAnsi" w:hAnsiTheme="minorHAnsi"/>
          <w:szCs w:val="22"/>
        </w:rPr>
        <w:t xml:space="preserve"> sal</w:t>
      </w:r>
      <w:r w:rsidR="006150F0" w:rsidRPr="00A74928">
        <w:rPr>
          <w:rFonts w:asciiTheme="minorHAnsi" w:hAnsiTheme="minorHAnsi"/>
          <w:szCs w:val="22"/>
        </w:rPr>
        <w:t>a</w:t>
      </w:r>
      <w:r w:rsidR="00E160DD" w:rsidRPr="00A74928">
        <w:rPr>
          <w:rFonts w:asciiTheme="minorHAnsi" w:hAnsiTheme="minorHAnsi"/>
          <w:szCs w:val="22"/>
        </w:rPr>
        <w:t>riés. I</w:t>
      </w:r>
      <w:r w:rsidR="006150F0" w:rsidRPr="00A74928">
        <w:rPr>
          <w:rFonts w:asciiTheme="minorHAnsi" w:hAnsiTheme="minorHAnsi"/>
          <w:szCs w:val="22"/>
        </w:rPr>
        <w:t>ls comprennent</w:t>
      </w:r>
      <w:r w:rsidR="00CC0714" w:rsidRPr="00A74928">
        <w:rPr>
          <w:rFonts w:asciiTheme="minorHAnsi" w:hAnsiTheme="minorHAnsi"/>
          <w:szCs w:val="22"/>
        </w:rPr>
        <w:t xml:space="preserve"> </w:t>
      </w:r>
      <w:r w:rsidR="006150F0" w:rsidRPr="00A74928">
        <w:rPr>
          <w:rFonts w:asciiTheme="minorHAnsi" w:hAnsiTheme="minorHAnsi"/>
          <w:szCs w:val="22"/>
        </w:rPr>
        <w:t>également</w:t>
      </w:r>
      <w:r w:rsidR="00CC0714" w:rsidRPr="00A74928">
        <w:rPr>
          <w:rFonts w:asciiTheme="minorHAnsi" w:hAnsiTheme="minorHAnsi"/>
          <w:szCs w:val="22"/>
        </w:rPr>
        <w:t xml:space="preserve"> </w:t>
      </w:r>
      <w:r w:rsidR="00700506" w:rsidRPr="00A74928">
        <w:rPr>
          <w:rFonts w:asciiTheme="minorHAnsi" w:hAnsiTheme="minorHAnsi"/>
          <w:szCs w:val="22"/>
        </w:rPr>
        <w:t>les subventions</w:t>
      </w:r>
      <w:r w:rsidR="00D21079" w:rsidRPr="00A74928">
        <w:rPr>
          <w:rFonts w:asciiTheme="minorHAnsi" w:hAnsiTheme="minorHAnsi"/>
          <w:szCs w:val="22"/>
        </w:rPr>
        <w:t>, les impôts</w:t>
      </w:r>
      <w:r w:rsidR="00700506" w:rsidRPr="00A74928">
        <w:rPr>
          <w:rFonts w:asciiTheme="minorHAnsi" w:hAnsiTheme="minorHAnsi"/>
          <w:szCs w:val="22"/>
        </w:rPr>
        <w:t xml:space="preserve"> </w:t>
      </w:r>
      <w:r w:rsidR="007E13E0" w:rsidRPr="00A74928">
        <w:rPr>
          <w:rFonts w:asciiTheme="minorHAnsi" w:hAnsiTheme="minorHAnsi"/>
          <w:szCs w:val="22"/>
        </w:rPr>
        <w:t xml:space="preserve">sur la production </w:t>
      </w:r>
      <w:r w:rsidR="00700506" w:rsidRPr="00A74928">
        <w:rPr>
          <w:rFonts w:asciiTheme="minorHAnsi" w:hAnsiTheme="minorHAnsi"/>
          <w:szCs w:val="22"/>
        </w:rPr>
        <w:t xml:space="preserve">et </w:t>
      </w:r>
      <w:r w:rsidR="00CC0714" w:rsidRPr="00A74928">
        <w:rPr>
          <w:rFonts w:asciiTheme="minorHAnsi" w:hAnsiTheme="minorHAnsi"/>
          <w:szCs w:val="22"/>
        </w:rPr>
        <w:t>l</w:t>
      </w:r>
      <w:r w:rsidR="00E160DD" w:rsidRPr="00A74928">
        <w:rPr>
          <w:rFonts w:asciiTheme="minorHAnsi" w:hAnsiTheme="minorHAnsi"/>
          <w:szCs w:val="22"/>
        </w:rPr>
        <w:t xml:space="preserve">es </w:t>
      </w:r>
      <w:r w:rsidR="006150F0" w:rsidRPr="00A74928">
        <w:rPr>
          <w:rFonts w:asciiTheme="minorHAnsi" w:hAnsiTheme="minorHAnsi"/>
          <w:szCs w:val="22"/>
        </w:rPr>
        <w:t>droits</w:t>
      </w:r>
      <w:r w:rsidR="00E160DD" w:rsidRPr="00A74928">
        <w:rPr>
          <w:rFonts w:asciiTheme="minorHAnsi" w:hAnsiTheme="minorHAnsi"/>
          <w:szCs w:val="22"/>
        </w:rPr>
        <w:t xml:space="preserve"> d’</w:t>
      </w:r>
      <w:r w:rsidR="006150F0" w:rsidRPr="00A74928">
        <w:rPr>
          <w:rFonts w:asciiTheme="minorHAnsi" w:hAnsiTheme="minorHAnsi"/>
          <w:szCs w:val="22"/>
        </w:rPr>
        <w:t>utilisation d</w:t>
      </w:r>
      <w:r w:rsidR="00E160DD" w:rsidRPr="00A74928">
        <w:rPr>
          <w:rFonts w:asciiTheme="minorHAnsi" w:hAnsiTheme="minorHAnsi"/>
          <w:szCs w:val="22"/>
        </w:rPr>
        <w:t xml:space="preserve">e </w:t>
      </w:r>
      <w:r w:rsidR="006150F0" w:rsidRPr="00A74928">
        <w:rPr>
          <w:rFonts w:asciiTheme="minorHAnsi" w:hAnsiTheme="minorHAnsi"/>
          <w:szCs w:val="22"/>
        </w:rPr>
        <w:t>ressources</w:t>
      </w:r>
      <w:r w:rsidR="00E160DD" w:rsidRPr="00A74928">
        <w:rPr>
          <w:rFonts w:asciiTheme="minorHAnsi" w:hAnsiTheme="minorHAnsi"/>
          <w:szCs w:val="22"/>
        </w:rPr>
        <w:t xml:space="preserve"> naturelles.</w:t>
      </w:r>
    </w:p>
    <w:p w:rsidR="00E160DD" w:rsidRPr="00A74928" w:rsidRDefault="005E4708" w:rsidP="00B221FA">
      <w:pPr>
        <w:numPr>
          <w:ilvl w:val="0"/>
          <w:numId w:val="31"/>
        </w:numPr>
        <w:spacing w:before="140"/>
        <w:ind w:left="714" w:hanging="357"/>
        <w:outlineLvl w:val="2"/>
        <w:rPr>
          <w:rFonts w:asciiTheme="minorHAnsi" w:hAnsiTheme="minorHAnsi"/>
          <w:szCs w:val="22"/>
        </w:rPr>
      </w:pPr>
      <w:r w:rsidRPr="00A74928">
        <w:rPr>
          <w:rFonts w:asciiTheme="minorHAnsi" w:hAnsiTheme="minorHAnsi"/>
          <w:szCs w:val="22"/>
          <w:u w:val="single"/>
        </w:rPr>
        <w:t xml:space="preserve">Les </w:t>
      </w:r>
      <w:r w:rsidR="007E13E0" w:rsidRPr="00A74928">
        <w:rPr>
          <w:rFonts w:asciiTheme="minorHAnsi" w:hAnsiTheme="minorHAnsi"/>
          <w:szCs w:val="22"/>
          <w:u w:val="single"/>
        </w:rPr>
        <w:t>revenus secondaires</w:t>
      </w:r>
      <w:r w:rsidR="006150F0" w:rsidRPr="00A74928">
        <w:rPr>
          <w:rFonts w:asciiTheme="minorHAnsi" w:hAnsiTheme="minorHAnsi"/>
          <w:szCs w:val="22"/>
        </w:rPr>
        <w:t xml:space="preserve"> </w:t>
      </w:r>
      <w:r w:rsidR="007E13E0" w:rsidRPr="00A74928">
        <w:rPr>
          <w:rFonts w:asciiTheme="minorHAnsi" w:hAnsiTheme="minorHAnsi"/>
          <w:szCs w:val="22"/>
        </w:rPr>
        <w:t>(</w:t>
      </w:r>
      <w:r w:rsidR="00FE6AC7" w:rsidRPr="00A74928">
        <w:rPr>
          <w:rFonts w:asciiTheme="minorHAnsi" w:hAnsiTheme="minorHAnsi"/>
          <w:szCs w:val="22"/>
        </w:rPr>
        <w:t xml:space="preserve">ou </w:t>
      </w:r>
      <w:r w:rsidR="007E13E0" w:rsidRPr="00A74928">
        <w:rPr>
          <w:rFonts w:asciiTheme="minorHAnsi" w:hAnsiTheme="minorHAnsi"/>
          <w:szCs w:val="22"/>
        </w:rPr>
        <w:t xml:space="preserve">transferts courants comme </w:t>
      </w:r>
      <w:r w:rsidR="001E0E2E" w:rsidRPr="00A74928">
        <w:rPr>
          <w:rFonts w:asciiTheme="minorHAnsi" w:hAnsiTheme="minorHAnsi"/>
          <w:szCs w:val="22"/>
        </w:rPr>
        <w:t xml:space="preserve">précédemment désignés </w:t>
      </w:r>
      <w:r w:rsidR="007E13E0" w:rsidRPr="00A74928">
        <w:rPr>
          <w:rFonts w:asciiTheme="minorHAnsi" w:hAnsiTheme="minorHAnsi"/>
          <w:szCs w:val="22"/>
        </w:rPr>
        <w:t>dans la méthodologie du 5</w:t>
      </w:r>
      <w:r w:rsidR="007E13E0" w:rsidRPr="00A74928">
        <w:rPr>
          <w:rFonts w:asciiTheme="minorHAnsi" w:hAnsiTheme="minorHAnsi"/>
          <w:szCs w:val="22"/>
          <w:vertAlign w:val="superscript"/>
        </w:rPr>
        <w:t>e</w:t>
      </w:r>
      <w:r w:rsidR="007E13E0" w:rsidRPr="00A74928">
        <w:rPr>
          <w:rFonts w:asciiTheme="minorHAnsi" w:hAnsiTheme="minorHAnsi"/>
          <w:szCs w:val="22"/>
        </w:rPr>
        <w:t xml:space="preserve"> Manuel du FMI</w:t>
      </w:r>
      <w:r w:rsidR="001E0E2E" w:rsidRPr="00A74928">
        <w:rPr>
          <w:rFonts w:asciiTheme="minorHAnsi" w:hAnsiTheme="minorHAnsi"/>
          <w:szCs w:val="22"/>
        </w:rPr>
        <w:t>)</w:t>
      </w:r>
      <w:r w:rsidR="007E13E0" w:rsidRPr="00A74928">
        <w:rPr>
          <w:rFonts w:asciiTheme="minorHAnsi" w:hAnsiTheme="minorHAnsi"/>
          <w:szCs w:val="22"/>
        </w:rPr>
        <w:t xml:space="preserve"> </w:t>
      </w:r>
      <w:r w:rsidR="006150F0" w:rsidRPr="00A74928">
        <w:rPr>
          <w:rFonts w:asciiTheme="minorHAnsi" w:hAnsiTheme="minorHAnsi"/>
          <w:szCs w:val="22"/>
        </w:rPr>
        <w:t xml:space="preserve">décrivent les </w:t>
      </w:r>
      <w:r w:rsidR="00E160DD" w:rsidRPr="00A74928">
        <w:rPr>
          <w:rFonts w:asciiTheme="minorHAnsi" w:hAnsiTheme="minorHAnsi"/>
          <w:szCs w:val="22"/>
        </w:rPr>
        <w:t>opérati</w:t>
      </w:r>
      <w:r w:rsidR="006150F0" w:rsidRPr="00A74928">
        <w:rPr>
          <w:rFonts w:asciiTheme="minorHAnsi" w:hAnsiTheme="minorHAnsi"/>
          <w:szCs w:val="22"/>
        </w:rPr>
        <w:t>ons sans</w:t>
      </w:r>
      <w:r w:rsidR="00E160DD" w:rsidRPr="00A74928">
        <w:rPr>
          <w:rFonts w:asciiTheme="minorHAnsi" w:hAnsiTheme="minorHAnsi"/>
          <w:szCs w:val="22"/>
        </w:rPr>
        <w:t xml:space="preserve"> </w:t>
      </w:r>
      <w:r w:rsidR="006150F0" w:rsidRPr="00A74928">
        <w:rPr>
          <w:rFonts w:asciiTheme="minorHAnsi" w:hAnsiTheme="minorHAnsi"/>
          <w:szCs w:val="22"/>
        </w:rPr>
        <w:t>réciprocité</w:t>
      </w:r>
      <w:r w:rsidR="00E160DD" w:rsidRPr="00A74928">
        <w:rPr>
          <w:rFonts w:asciiTheme="minorHAnsi" w:hAnsiTheme="minorHAnsi"/>
          <w:szCs w:val="22"/>
        </w:rPr>
        <w:t xml:space="preserve"> </w:t>
      </w:r>
      <w:r w:rsidR="00700506" w:rsidRPr="00A74928">
        <w:rPr>
          <w:rFonts w:asciiTheme="minorHAnsi" w:hAnsiTheme="minorHAnsi"/>
          <w:szCs w:val="22"/>
        </w:rPr>
        <w:t xml:space="preserve">et contrepartie apparente </w:t>
      </w:r>
      <w:r w:rsidR="00E160DD" w:rsidRPr="00A74928">
        <w:rPr>
          <w:rFonts w:asciiTheme="minorHAnsi" w:hAnsiTheme="minorHAnsi"/>
          <w:szCs w:val="22"/>
        </w:rPr>
        <w:t>(qu</w:t>
      </w:r>
      <w:r w:rsidR="006150F0" w:rsidRPr="00A74928">
        <w:rPr>
          <w:rFonts w:asciiTheme="minorHAnsi" w:hAnsiTheme="minorHAnsi"/>
          <w:szCs w:val="22"/>
        </w:rPr>
        <w:t>i</w:t>
      </w:r>
      <w:r w:rsidR="00E160DD" w:rsidRPr="00A74928">
        <w:rPr>
          <w:rFonts w:asciiTheme="minorHAnsi" w:hAnsiTheme="minorHAnsi"/>
          <w:szCs w:val="22"/>
        </w:rPr>
        <w:t xml:space="preserve"> ne </w:t>
      </w:r>
      <w:r w:rsidR="006150F0" w:rsidRPr="00A74928">
        <w:rPr>
          <w:rFonts w:asciiTheme="minorHAnsi" w:hAnsiTheme="minorHAnsi"/>
          <w:szCs w:val="22"/>
        </w:rPr>
        <w:t>peuvent</w:t>
      </w:r>
      <w:r w:rsidR="00E160DD" w:rsidRPr="00A74928">
        <w:rPr>
          <w:rFonts w:asciiTheme="minorHAnsi" w:hAnsiTheme="minorHAnsi"/>
          <w:szCs w:val="22"/>
        </w:rPr>
        <w:t xml:space="preserve"> ê</w:t>
      </w:r>
      <w:r w:rsidR="006150F0" w:rsidRPr="00A74928">
        <w:rPr>
          <w:rFonts w:asciiTheme="minorHAnsi" w:hAnsiTheme="minorHAnsi"/>
          <w:szCs w:val="22"/>
        </w:rPr>
        <w:t>tre</w:t>
      </w:r>
      <w:r w:rsidR="00E160DD" w:rsidRPr="00A74928">
        <w:rPr>
          <w:rFonts w:asciiTheme="minorHAnsi" w:hAnsiTheme="minorHAnsi"/>
          <w:szCs w:val="22"/>
        </w:rPr>
        <w:t xml:space="preserve"> </w:t>
      </w:r>
      <w:r w:rsidR="006150F0" w:rsidRPr="00A74928">
        <w:rPr>
          <w:rFonts w:asciiTheme="minorHAnsi" w:hAnsiTheme="minorHAnsi"/>
          <w:szCs w:val="22"/>
        </w:rPr>
        <w:t>qualifiés</w:t>
      </w:r>
      <w:r w:rsidR="00E160DD" w:rsidRPr="00A74928">
        <w:rPr>
          <w:rFonts w:asciiTheme="minorHAnsi" w:hAnsiTheme="minorHAnsi"/>
          <w:szCs w:val="22"/>
        </w:rPr>
        <w:t xml:space="preserve"> d’</w:t>
      </w:r>
      <w:r w:rsidR="006150F0" w:rsidRPr="00A74928">
        <w:rPr>
          <w:rFonts w:asciiTheme="minorHAnsi" w:hAnsiTheme="minorHAnsi"/>
          <w:szCs w:val="22"/>
        </w:rPr>
        <w:t>échanges</w:t>
      </w:r>
      <w:r w:rsidR="00E160DD" w:rsidRPr="00A74928">
        <w:rPr>
          <w:rFonts w:asciiTheme="minorHAnsi" w:hAnsiTheme="minorHAnsi"/>
          <w:szCs w:val="22"/>
        </w:rPr>
        <w:t xml:space="preserve"> mai</w:t>
      </w:r>
      <w:r w:rsidR="006150F0" w:rsidRPr="00A74928">
        <w:rPr>
          <w:rFonts w:asciiTheme="minorHAnsi" w:hAnsiTheme="minorHAnsi"/>
          <w:szCs w:val="22"/>
        </w:rPr>
        <w:t>s</w:t>
      </w:r>
      <w:r w:rsidR="00E160DD" w:rsidRPr="00A74928">
        <w:rPr>
          <w:rFonts w:asciiTheme="minorHAnsi" w:hAnsiTheme="minorHAnsi"/>
          <w:szCs w:val="22"/>
        </w:rPr>
        <w:t xml:space="preserve"> </w:t>
      </w:r>
      <w:r w:rsidR="00CC0714" w:rsidRPr="00A74928">
        <w:rPr>
          <w:rFonts w:asciiTheme="minorHAnsi" w:hAnsiTheme="minorHAnsi"/>
          <w:szCs w:val="22"/>
        </w:rPr>
        <w:t>qu</w:t>
      </w:r>
      <w:r w:rsidR="006150F0" w:rsidRPr="00A74928">
        <w:rPr>
          <w:rFonts w:asciiTheme="minorHAnsi" w:hAnsiTheme="minorHAnsi"/>
          <w:szCs w:val="22"/>
        </w:rPr>
        <w:t>i</w:t>
      </w:r>
      <w:r w:rsidR="00CC0714" w:rsidRPr="00A74928">
        <w:rPr>
          <w:rFonts w:asciiTheme="minorHAnsi" w:hAnsiTheme="minorHAnsi"/>
          <w:szCs w:val="22"/>
        </w:rPr>
        <w:t xml:space="preserve"> produisent de</w:t>
      </w:r>
      <w:r w:rsidR="006150F0" w:rsidRPr="00A74928">
        <w:rPr>
          <w:rFonts w:asciiTheme="minorHAnsi" w:hAnsiTheme="minorHAnsi"/>
          <w:szCs w:val="22"/>
        </w:rPr>
        <w:t>s revenus)</w:t>
      </w:r>
      <w:r w:rsidR="00E160DD" w:rsidRPr="00A74928">
        <w:rPr>
          <w:rFonts w:asciiTheme="minorHAnsi" w:hAnsiTheme="minorHAnsi"/>
          <w:szCs w:val="22"/>
        </w:rPr>
        <w:t xml:space="preserve">. </w:t>
      </w:r>
      <w:r w:rsidR="006150F0" w:rsidRPr="00A74928">
        <w:rPr>
          <w:rFonts w:asciiTheme="minorHAnsi" w:hAnsiTheme="minorHAnsi"/>
          <w:szCs w:val="22"/>
        </w:rPr>
        <w:t xml:space="preserve">Rentrent dans cette catégorie les dons, </w:t>
      </w:r>
      <w:r w:rsidR="00353785" w:rsidRPr="00A74928">
        <w:rPr>
          <w:rFonts w:asciiTheme="minorHAnsi" w:hAnsiTheme="minorHAnsi"/>
          <w:szCs w:val="22"/>
        </w:rPr>
        <w:t xml:space="preserve">les indemnités pour rupture de contrat, les cautions et les dédommagements, la coopération internationale (contributions </w:t>
      </w:r>
      <w:r w:rsidR="00A20152" w:rsidRPr="00A74928">
        <w:rPr>
          <w:rFonts w:asciiTheme="minorHAnsi" w:hAnsiTheme="minorHAnsi"/>
          <w:szCs w:val="22"/>
        </w:rPr>
        <w:t xml:space="preserve">volontaires </w:t>
      </w:r>
      <w:r w:rsidR="00353785" w:rsidRPr="00A74928">
        <w:rPr>
          <w:rFonts w:asciiTheme="minorHAnsi" w:hAnsiTheme="minorHAnsi"/>
          <w:szCs w:val="22"/>
        </w:rPr>
        <w:t xml:space="preserve">aux frais de fonctionnement d’organismes internationaux) et </w:t>
      </w:r>
      <w:r w:rsidR="006150F0" w:rsidRPr="00A74928">
        <w:rPr>
          <w:rFonts w:asciiTheme="minorHAnsi" w:hAnsiTheme="minorHAnsi"/>
          <w:szCs w:val="22"/>
        </w:rPr>
        <w:t xml:space="preserve">les impôts </w:t>
      </w:r>
      <w:r w:rsidR="007E13E0" w:rsidRPr="00A74928">
        <w:rPr>
          <w:rFonts w:asciiTheme="minorHAnsi" w:hAnsiTheme="minorHAnsi"/>
          <w:szCs w:val="22"/>
        </w:rPr>
        <w:t xml:space="preserve">courants </w:t>
      </w:r>
      <w:r w:rsidR="00D21079" w:rsidRPr="00A74928">
        <w:rPr>
          <w:rFonts w:asciiTheme="minorHAnsi" w:hAnsiTheme="minorHAnsi"/>
          <w:szCs w:val="22"/>
        </w:rPr>
        <w:t xml:space="preserve">sur le revenu et le patrimoine </w:t>
      </w:r>
      <w:r w:rsidR="00C02990" w:rsidRPr="00A74928">
        <w:rPr>
          <w:rFonts w:asciiTheme="minorHAnsi" w:hAnsiTheme="minorHAnsi"/>
          <w:szCs w:val="22"/>
        </w:rPr>
        <w:t>en particulier</w:t>
      </w:r>
      <w:r w:rsidR="00E160DD" w:rsidRPr="00A74928">
        <w:rPr>
          <w:rFonts w:asciiTheme="minorHAnsi" w:hAnsiTheme="minorHAnsi"/>
          <w:szCs w:val="22"/>
        </w:rPr>
        <w:t>.</w:t>
      </w:r>
    </w:p>
    <w:p w:rsidR="00CC0714" w:rsidRPr="00A74928" w:rsidRDefault="005E4708" w:rsidP="00B221FA">
      <w:pPr>
        <w:numPr>
          <w:ilvl w:val="0"/>
          <w:numId w:val="31"/>
        </w:numPr>
        <w:spacing w:before="140"/>
        <w:ind w:left="714" w:hanging="357"/>
        <w:outlineLvl w:val="2"/>
        <w:rPr>
          <w:rFonts w:asciiTheme="minorHAnsi" w:hAnsiTheme="minorHAnsi"/>
          <w:szCs w:val="22"/>
        </w:rPr>
      </w:pPr>
      <w:r w:rsidRPr="00A74928">
        <w:rPr>
          <w:rFonts w:asciiTheme="minorHAnsi" w:hAnsiTheme="minorHAnsi"/>
          <w:szCs w:val="22"/>
          <w:u w:val="single"/>
        </w:rPr>
        <w:t xml:space="preserve">Les transferts </w:t>
      </w:r>
      <w:r w:rsidR="00C02990" w:rsidRPr="00A74928">
        <w:rPr>
          <w:rFonts w:asciiTheme="minorHAnsi" w:hAnsiTheme="minorHAnsi"/>
          <w:szCs w:val="22"/>
          <w:u w:val="single"/>
        </w:rPr>
        <w:t>en</w:t>
      </w:r>
      <w:r w:rsidRPr="00A74928">
        <w:rPr>
          <w:rFonts w:asciiTheme="minorHAnsi" w:hAnsiTheme="minorHAnsi"/>
          <w:szCs w:val="22"/>
          <w:u w:val="single"/>
        </w:rPr>
        <w:t xml:space="preserve"> capital</w:t>
      </w:r>
      <w:r w:rsidR="00530282" w:rsidRPr="00A74928">
        <w:rPr>
          <w:rFonts w:asciiTheme="minorHAnsi" w:hAnsiTheme="minorHAnsi"/>
          <w:szCs w:val="22"/>
        </w:rPr>
        <w:t xml:space="preserve"> retracent </w:t>
      </w:r>
      <w:r w:rsidR="00E160DD" w:rsidRPr="00A74928">
        <w:rPr>
          <w:rFonts w:asciiTheme="minorHAnsi" w:hAnsiTheme="minorHAnsi"/>
          <w:szCs w:val="22"/>
        </w:rPr>
        <w:t xml:space="preserve">en </w:t>
      </w:r>
      <w:r w:rsidR="00530282" w:rsidRPr="00A74928">
        <w:rPr>
          <w:rFonts w:asciiTheme="minorHAnsi" w:hAnsiTheme="minorHAnsi"/>
          <w:szCs w:val="22"/>
        </w:rPr>
        <w:t>pratique les remises de dettes, les pertes sur contrats, les aides à</w:t>
      </w:r>
      <w:r w:rsidR="00E160DD" w:rsidRPr="00A74928">
        <w:rPr>
          <w:rFonts w:asciiTheme="minorHAnsi" w:hAnsiTheme="minorHAnsi"/>
          <w:szCs w:val="22"/>
        </w:rPr>
        <w:t xml:space="preserve"> l’</w:t>
      </w:r>
      <w:r w:rsidR="00530282" w:rsidRPr="00A74928">
        <w:rPr>
          <w:rFonts w:asciiTheme="minorHAnsi" w:hAnsiTheme="minorHAnsi"/>
          <w:szCs w:val="22"/>
        </w:rPr>
        <w:t>investissement, ainsi que les acquisitions et cessions d’actifs incorporels</w:t>
      </w:r>
      <w:r w:rsidR="00E160DD" w:rsidRPr="00A74928">
        <w:rPr>
          <w:rFonts w:asciiTheme="minorHAnsi" w:hAnsiTheme="minorHAnsi"/>
          <w:szCs w:val="22"/>
        </w:rPr>
        <w:t xml:space="preserve"> (brev</w:t>
      </w:r>
      <w:r w:rsidR="00530282" w:rsidRPr="00A74928">
        <w:rPr>
          <w:rFonts w:asciiTheme="minorHAnsi" w:hAnsiTheme="minorHAnsi"/>
          <w:szCs w:val="22"/>
        </w:rPr>
        <w:t>e</w:t>
      </w:r>
      <w:r w:rsidR="00E160DD" w:rsidRPr="00A74928">
        <w:rPr>
          <w:rFonts w:asciiTheme="minorHAnsi" w:hAnsiTheme="minorHAnsi"/>
          <w:szCs w:val="22"/>
        </w:rPr>
        <w:t xml:space="preserve">ts, </w:t>
      </w:r>
      <w:r w:rsidR="00530282" w:rsidRPr="00A74928">
        <w:rPr>
          <w:rFonts w:asciiTheme="minorHAnsi" w:hAnsiTheme="minorHAnsi"/>
          <w:szCs w:val="22"/>
        </w:rPr>
        <w:t>marques, droits d’auteur</w:t>
      </w:r>
      <w:r w:rsidR="002C3436" w:rsidRPr="00A74928">
        <w:rPr>
          <w:rFonts w:asciiTheme="minorHAnsi" w:hAnsiTheme="minorHAnsi"/>
          <w:szCs w:val="22"/>
        </w:rPr>
        <w:t>, sauf ventes de droits de propriété de la recherche-développement classées dans les services</w:t>
      </w:r>
      <w:r w:rsidR="00E160DD" w:rsidRPr="00A74928">
        <w:rPr>
          <w:rFonts w:asciiTheme="minorHAnsi" w:hAnsiTheme="minorHAnsi"/>
          <w:szCs w:val="22"/>
        </w:rPr>
        <w:t>)</w:t>
      </w:r>
      <w:r w:rsidR="00CC0714" w:rsidRPr="00A74928">
        <w:rPr>
          <w:rFonts w:asciiTheme="minorHAnsi" w:hAnsiTheme="minorHAnsi"/>
          <w:szCs w:val="22"/>
        </w:rPr>
        <w:t>.</w:t>
      </w:r>
      <w:r w:rsidR="00B812B1" w:rsidRPr="00A74928">
        <w:rPr>
          <w:rFonts w:asciiTheme="minorHAnsi" w:hAnsiTheme="minorHAnsi"/>
          <w:szCs w:val="22"/>
        </w:rPr>
        <w:t xml:space="preserve"> Ils incluent par ailleurs les indemnisations de sinistres majeurs dans le cas de l’assurance.</w:t>
      </w:r>
    </w:p>
    <w:p w:rsidR="00E160DD" w:rsidRPr="00A74928" w:rsidRDefault="005E4708" w:rsidP="00B221FA">
      <w:pPr>
        <w:numPr>
          <w:ilvl w:val="0"/>
          <w:numId w:val="31"/>
        </w:numPr>
        <w:spacing w:before="140"/>
        <w:ind w:left="714" w:hanging="357"/>
        <w:outlineLvl w:val="2"/>
        <w:rPr>
          <w:rFonts w:asciiTheme="minorHAnsi" w:hAnsiTheme="minorHAnsi"/>
          <w:szCs w:val="22"/>
        </w:rPr>
      </w:pPr>
      <w:r w:rsidRPr="00A74928">
        <w:rPr>
          <w:rFonts w:asciiTheme="minorHAnsi" w:hAnsiTheme="minorHAnsi"/>
          <w:szCs w:val="22"/>
          <w:u w:val="single"/>
        </w:rPr>
        <w:t>Les investissements directs</w:t>
      </w:r>
      <w:r w:rsidR="00530282" w:rsidRPr="00A74928">
        <w:rPr>
          <w:rFonts w:asciiTheme="minorHAnsi" w:hAnsiTheme="minorHAnsi"/>
          <w:szCs w:val="22"/>
        </w:rPr>
        <w:t xml:space="preserve"> correspondent aux opérations en capital social </w:t>
      </w:r>
      <w:r w:rsidR="00CC0714" w:rsidRPr="00A74928">
        <w:rPr>
          <w:rFonts w:asciiTheme="minorHAnsi" w:hAnsiTheme="minorHAnsi"/>
          <w:szCs w:val="22"/>
        </w:rPr>
        <w:t>stricto sens</w:t>
      </w:r>
      <w:r w:rsidR="00530282" w:rsidRPr="00A74928">
        <w:rPr>
          <w:rFonts w:asciiTheme="minorHAnsi" w:hAnsiTheme="minorHAnsi"/>
          <w:szCs w:val="22"/>
        </w:rPr>
        <w:t>u</w:t>
      </w:r>
      <w:r w:rsidR="00CC0714" w:rsidRPr="00A74928">
        <w:rPr>
          <w:rFonts w:asciiTheme="minorHAnsi" w:hAnsiTheme="minorHAnsi"/>
          <w:szCs w:val="22"/>
        </w:rPr>
        <w:t>, qu</w:t>
      </w:r>
      <w:r w:rsidR="00530282" w:rsidRPr="00A74928">
        <w:rPr>
          <w:rFonts w:asciiTheme="minorHAnsi" w:hAnsiTheme="minorHAnsi"/>
          <w:szCs w:val="22"/>
        </w:rPr>
        <w:t>i comprennent les créations, acquisitions</w:t>
      </w:r>
      <w:r w:rsidR="00CC0714" w:rsidRPr="00A74928">
        <w:rPr>
          <w:rFonts w:asciiTheme="minorHAnsi" w:hAnsiTheme="minorHAnsi"/>
          <w:szCs w:val="22"/>
        </w:rPr>
        <w:t>,</w:t>
      </w:r>
      <w:r w:rsidR="00530282" w:rsidRPr="00A74928">
        <w:rPr>
          <w:rFonts w:asciiTheme="minorHAnsi" w:hAnsiTheme="minorHAnsi"/>
          <w:szCs w:val="22"/>
        </w:rPr>
        <w:t xml:space="preserve"> extensions ou cessions </w:t>
      </w:r>
      <w:r w:rsidR="00CC0714" w:rsidRPr="00A74928">
        <w:rPr>
          <w:rFonts w:asciiTheme="minorHAnsi" w:hAnsiTheme="minorHAnsi"/>
          <w:szCs w:val="22"/>
        </w:rPr>
        <w:t>d’</w:t>
      </w:r>
      <w:r w:rsidR="00530282" w:rsidRPr="00A74928">
        <w:rPr>
          <w:rFonts w:asciiTheme="minorHAnsi" w:hAnsiTheme="minorHAnsi"/>
          <w:szCs w:val="22"/>
        </w:rPr>
        <w:t>entreprises</w:t>
      </w:r>
      <w:r w:rsidR="00CC0714" w:rsidRPr="00A74928">
        <w:rPr>
          <w:rFonts w:asciiTheme="minorHAnsi" w:hAnsiTheme="minorHAnsi"/>
          <w:szCs w:val="22"/>
        </w:rPr>
        <w:t xml:space="preserve">, </w:t>
      </w:r>
      <w:r w:rsidR="00530282" w:rsidRPr="00A74928">
        <w:rPr>
          <w:rFonts w:asciiTheme="minorHAnsi" w:hAnsiTheme="minorHAnsi"/>
          <w:szCs w:val="22"/>
        </w:rPr>
        <w:t xml:space="preserve">réalisées sous forme </w:t>
      </w:r>
      <w:r w:rsidR="00CC0714" w:rsidRPr="00A74928">
        <w:rPr>
          <w:rFonts w:asciiTheme="minorHAnsi" w:hAnsiTheme="minorHAnsi"/>
          <w:szCs w:val="22"/>
        </w:rPr>
        <w:t>d</w:t>
      </w:r>
      <w:r w:rsidR="00530282" w:rsidRPr="00A74928">
        <w:rPr>
          <w:rFonts w:asciiTheme="minorHAnsi" w:hAnsiTheme="minorHAnsi"/>
          <w:szCs w:val="22"/>
        </w:rPr>
        <w:t>e négociation</w:t>
      </w:r>
      <w:r w:rsidR="00CC0714" w:rsidRPr="00A74928">
        <w:rPr>
          <w:rFonts w:asciiTheme="minorHAnsi" w:hAnsiTheme="minorHAnsi"/>
          <w:szCs w:val="22"/>
        </w:rPr>
        <w:t xml:space="preserve"> de tit</w:t>
      </w:r>
      <w:r w:rsidR="00530282" w:rsidRPr="00A74928">
        <w:rPr>
          <w:rFonts w:asciiTheme="minorHAnsi" w:hAnsiTheme="minorHAnsi"/>
          <w:szCs w:val="22"/>
        </w:rPr>
        <w:t>res ou d’actifs p</w:t>
      </w:r>
      <w:r w:rsidR="00CC0714" w:rsidRPr="00A74928">
        <w:rPr>
          <w:rFonts w:asciiTheme="minorHAnsi" w:hAnsiTheme="minorHAnsi"/>
          <w:szCs w:val="22"/>
        </w:rPr>
        <w:t>roductifs, le</w:t>
      </w:r>
      <w:r w:rsidR="00530282" w:rsidRPr="00A74928">
        <w:rPr>
          <w:rFonts w:asciiTheme="minorHAnsi" w:hAnsiTheme="minorHAnsi"/>
          <w:szCs w:val="22"/>
        </w:rPr>
        <w:t>s</w:t>
      </w:r>
      <w:r w:rsidR="00CC0714" w:rsidRPr="00A74928">
        <w:rPr>
          <w:rFonts w:asciiTheme="minorHAnsi" w:hAnsiTheme="minorHAnsi"/>
          <w:szCs w:val="22"/>
        </w:rPr>
        <w:t xml:space="preserve"> </w:t>
      </w:r>
      <w:r w:rsidR="00530282" w:rsidRPr="00A74928">
        <w:rPr>
          <w:rFonts w:asciiTheme="minorHAnsi" w:hAnsiTheme="minorHAnsi"/>
          <w:szCs w:val="22"/>
        </w:rPr>
        <w:t>subventions</w:t>
      </w:r>
      <w:r w:rsidR="00CC0714" w:rsidRPr="00A74928">
        <w:rPr>
          <w:rFonts w:asciiTheme="minorHAnsi" w:hAnsiTheme="minorHAnsi"/>
          <w:szCs w:val="22"/>
        </w:rPr>
        <w:t xml:space="preserve"> d’</w:t>
      </w:r>
      <w:r w:rsidR="00530282" w:rsidRPr="00A74928">
        <w:rPr>
          <w:rFonts w:asciiTheme="minorHAnsi" w:hAnsiTheme="minorHAnsi"/>
          <w:szCs w:val="22"/>
        </w:rPr>
        <w:t xml:space="preserve">équilibre, les </w:t>
      </w:r>
      <w:r w:rsidR="00CC0714" w:rsidRPr="00A74928">
        <w:rPr>
          <w:rFonts w:asciiTheme="minorHAnsi" w:hAnsiTheme="minorHAnsi"/>
          <w:szCs w:val="22"/>
        </w:rPr>
        <w:t>co</w:t>
      </w:r>
      <w:r w:rsidR="00530282" w:rsidRPr="00A74928">
        <w:rPr>
          <w:rFonts w:asciiTheme="minorHAnsi" w:hAnsiTheme="minorHAnsi"/>
          <w:szCs w:val="22"/>
        </w:rPr>
        <w:t>nsolidations</w:t>
      </w:r>
      <w:r w:rsidR="00CC0714" w:rsidRPr="00A74928">
        <w:rPr>
          <w:rFonts w:asciiTheme="minorHAnsi" w:hAnsiTheme="minorHAnsi"/>
          <w:szCs w:val="22"/>
        </w:rPr>
        <w:t xml:space="preserve"> de prêts</w:t>
      </w:r>
      <w:r w:rsidR="007E13E0" w:rsidRPr="00A74928">
        <w:rPr>
          <w:rFonts w:asciiTheme="minorHAnsi" w:hAnsiTheme="minorHAnsi"/>
          <w:szCs w:val="22"/>
        </w:rPr>
        <w:t xml:space="preserve"> et</w:t>
      </w:r>
      <w:r w:rsidR="00CC0714" w:rsidRPr="00A74928">
        <w:rPr>
          <w:rFonts w:asciiTheme="minorHAnsi" w:hAnsiTheme="minorHAnsi"/>
          <w:szCs w:val="22"/>
        </w:rPr>
        <w:t xml:space="preserve"> </w:t>
      </w:r>
      <w:r w:rsidR="00530282" w:rsidRPr="00A74928">
        <w:rPr>
          <w:rFonts w:asciiTheme="minorHAnsi" w:hAnsiTheme="minorHAnsi"/>
          <w:szCs w:val="22"/>
        </w:rPr>
        <w:t>les investissements immobiliers</w:t>
      </w:r>
      <w:r w:rsidR="00CC0714" w:rsidRPr="00A74928">
        <w:rPr>
          <w:rFonts w:asciiTheme="minorHAnsi" w:hAnsiTheme="minorHAnsi"/>
          <w:szCs w:val="22"/>
        </w:rPr>
        <w:t>.</w:t>
      </w:r>
    </w:p>
    <w:p w:rsidR="00CC0714" w:rsidRPr="00A74928" w:rsidRDefault="00CC0714" w:rsidP="001A289D">
      <w:pPr>
        <w:spacing w:before="60"/>
        <w:outlineLvl w:val="2"/>
        <w:rPr>
          <w:rFonts w:asciiTheme="minorHAnsi" w:hAnsiTheme="minorHAnsi"/>
          <w:szCs w:val="22"/>
        </w:rPr>
      </w:pPr>
    </w:p>
    <w:p w:rsidR="002D4115" w:rsidRPr="00453900" w:rsidRDefault="00A74928" w:rsidP="007506B0">
      <w:pPr>
        <w:rPr>
          <w:szCs w:val="22"/>
        </w:rPr>
      </w:pPr>
      <w:r>
        <w:rPr>
          <w:szCs w:val="22"/>
        </w:rPr>
        <w:br w:type="page"/>
      </w:r>
    </w:p>
    <w:p w:rsidR="007506B0" w:rsidRPr="004619BC" w:rsidRDefault="007506B0" w:rsidP="001D68E8">
      <w:pPr>
        <w:pStyle w:val="Titre1"/>
        <w:numPr>
          <w:ilvl w:val="0"/>
          <w:numId w:val="16"/>
        </w:numPr>
        <w:shd w:val="clear" w:color="auto" w:fill="DBE5F1" w:themeFill="accent1" w:themeFillTint="33"/>
        <w:spacing w:before="0" w:after="120"/>
        <w:ind w:left="0" w:firstLine="0"/>
        <w:rPr>
          <w:caps/>
          <w:sz w:val="28"/>
          <w:szCs w:val="28"/>
        </w:rPr>
      </w:pPr>
      <w:bookmarkStart w:id="2" w:name="_Toc331685321"/>
      <w:r w:rsidRPr="004619BC">
        <w:rPr>
          <w:caps/>
          <w:sz w:val="28"/>
          <w:szCs w:val="28"/>
        </w:rPr>
        <w:lastRenderedPageBreak/>
        <w:t>Contenu de la déclaration</w:t>
      </w:r>
      <w:bookmarkEnd w:id="2"/>
    </w:p>
    <w:p w:rsidR="002D4115" w:rsidRPr="00453900" w:rsidRDefault="002D4115" w:rsidP="002D4115">
      <w:pPr>
        <w:rPr>
          <w:szCs w:val="22"/>
        </w:rPr>
      </w:pPr>
    </w:p>
    <w:p w:rsidR="002D4115" w:rsidRPr="00A74928" w:rsidRDefault="00106B32" w:rsidP="002D4115">
      <w:pPr>
        <w:rPr>
          <w:rFonts w:asciiTheme="minorHAnsi" w:hAnsiTheme="minorHAnsi"/>
          <w:szCs w:val="22"/>
        </w:rPr>
      </w:pPr>
      <w:r w:rsidRPr="00A74928">
        <w:rPr>
          <w:rFonts w:asciiTheme="minorHAnsi" w:hAnsiTheme="minorHAnsi"/>
          <w:szCs w:val="22"/>
        </w:rPr>
        <w:t>Les entreprises redevables du RTE doivent identifier leurs</w:t>
      </w:r>
      <w:r w:rsidR="002D4115" w:rsidRPr="00A74928">
        <w:rPr>
          <w:rFonts w:asciiTheme="minorHAnsi" w:hAnsiTheme="minorHAnsi"/>
          <w:szCs w:val="22"/>
        </w:rPr>
        <w:t xml:space="preserve"> déclarations par </w:t>
      </w:r>
      <w:r w:rsidRPr="00A74928">
        <w:rPr>
          <w:rFonts w:asciiTheme="minorHAnsi" w:hAnsiTheme="minorHAnsi"/>
          <w:szCs w:val="22"/>
        </w:rPr>
        <w:t>leur</w:t>
      </w:r>
      <w:r w:rsidR="002D4115" w:rsidRPr="00A74928">
        <w:rPr>
          <w:rFonts w:asciiTheme="minorHAnsi" w:hAnsiTheme="minorHAnsi"/>
          <w:szCs w:val="22"/>
        </w:rPr>
        <w:t xml:space="preserve"> propre numéro S</w:t>
      </w:r>
      <w:r w:rsidRPr="00A74928">
        <w:rPr>
          <w:rFonts w:asciiTheme="minorHAnsi" w:hAnsiTheme="minorHAnsi"/>
          <w:szCs w:val="22"/>
        </w:rPr>
        <w:t>IREN</w:t>
      </w:r>
      <w:r w:rsidR="002D4115" w:rsidRPr="00A74928">
        <w:rPr>
          <w:rFonts w:asciiTheme="minorHAnsi" w:hAnsiTheme="minorHAnsi"/>
          <w:szCs w:val="22"/>
        </w:rPr>
        <w:t xml:space="preserve">. Les déclarations de plusieurs personnes morales distinctes ne doivent pas être agrégées, même en cas de </w:t>
      </w:r>
      <w:r w:rsidRPr="00A74928">
        <w:rPr>
          <w:rFonts w:asciiTheme="minorHAnsi" w:hAnsiTheme="minorHAnsi"/>
          <w:szCs w:val="22"/>
        </w:rPr>
        <w:t xml:space="preserve">remise centralisée pour différentes sociétés DDG </w:t>
      </w:r>
      <w:r w:rsidR="002D4115" w:rsidRPr="00A74928">
        <w:rPr>
          <w:rFonts w:asciiTheme="minorHAnsi" w:hAnsiTheme="minorHAnsi"/>
          <w:szCs w:val="22"/>
        </w:rPr>
        <w:t xml:space="preserve">d’un </w:t>
      </w:r>
      <w:r w:rsidRPr="00A74928">
        <w:rPr>
          <w:rFonts w:asciiTheme="minorHAnsi" w:hAnsiTheme="minorHAnsi"/>
          <w:szCs w:val="22"/>
        </w:rPr>
        <w:t xml:space="preserve">même </w:t>
      </w:r>
      <w:r w:rsidR="002D4115" w:rsidRPr="00A74928">
        <w:rPr>
          <w:rFonts w:asciiTheme="minorHAnsi" w:hAnsiTheme="minorHAnsi"/>
          <w:szCs w:val="22"/>
        </w:rPr>
        <w:t>groupe.</w:t>
      </w:r>
    </w:p>
    <w:p w:rsidR="00C167DC" w:rsidRPr="00A74928" w:rsidRDefault="00C167DC" w:rsidP="00C02990">
      <w:pPr>
        <w:rPr>
          <w:rFonts w:asciiTheme="minorHAnsi" w:hAnsiTheme="minorHAnsi"/>
          <w:szCs w:val="22"/>
        </w:rPr>
      </w:pPr>
    </w:p>
    <w:p w:rsidR="00C167DC" w:rsidRPr="00A74928" w:rsidRDefault="00C167DC" w:rsidP="00C167DC">
      <w:pPr>
        <w:rPr>
          <w:rFonts w:asciiTheme="minorHAnsi" w:hAnsiTheme="minorHAnsi"/>
          <w:szCs w:val="22"/>
        </w:rPr>
      </w:pPr>
      <w:r w:rsidRPr="00A74928">
        <w:rPr>
          <w:rFonts w:asciiTheme="minorHAnsi" w:hAnsiTheme="minorHAnsi"/>
          <w:szCs w:val="22"/>
        </w:rPr>
        <w:t xml:space="preserve">De </w:t>
      </w:r>
      <w:r w:rsidR="00106B32" w:rsidRPr="00A74928">
        <w:rPr>
          <w:rFonts w:asciiTheme="minorHAnsi" w:hAnsiTheme="minorHAnsi"/>
          <w:szCs w:val="22"/>
        </w:rPr>
        <w:t>manière systématique chaque relevé d</w:t>
      </w:r>
      <w:r w:rsidRPr="00A74928">
        <w:rPr>
          <w:rFonts w:asciiTheme="minorHAnsi" w:hAnsiTheme="minorHAnsi"/>
          <w:szCs w:val="22"/>
        </w:rPr>
        <w:t>oit c</w:t>
      </w:r>
      <w:r w:rsidR="00106B32" w:rsidRPr="00A74928">
        <w:rPr>
          <w:rFonts w:asciiTheme="minorHAnsi" w:hAnsiTheme="minorHAnsi"/>
          <w:szCs w:val="22"/>
        </w:rPr>
        <w:t>omprendre les éléments suivants</w:t>
      </w:r>
      <w:r w:rsidR="00DC78A5" w:rsidRPr="00A74928">
        <w:rPr>
          <w:rFonts w:asciiTheme="minorHAnsi" w:hAnsiTheme="minorHAnsi"/>
          <w:szCs w:val="22"/>
        </w:rPr>
        <w:t xml:space="preserve"> (sous peine de rejet en cas d’absence)</w:t>
      </w:r>
      <w:r w:rsidRPr="00A74928">
        <w:rPr>
          <w:rFonts w:asciiTheme="minorHAnsi" w:hAnsiTheme="minorHAnsi"/>
          <w:szCs w:val="22"/>
        </w:rPr>
        <w:t> :</w:t>
      </w:r>
    </w:p>
    <w:p w:rsidR="00C167DC" w:rsidRPr="00A74928" w:rsidRDefault="00C167DC" w:rsidP="00C02990">
      <w:pPr>
        <w:rPr>
          <w:rFonts w:asciiTheme="minorHAnsi" w:hAnsiTheme="minorHAnsi"/>
          <w:sz w:val="20"/>
        </w:rPr>
      </w:pPr>
    </w:p>
    <w:p w:rsidR="002668ED" w:rsidRPr="00A74928" w:rsidRDefault="00106B32" w:rsidP="00B221FA">
      <w:pPr>
        <w:pStyle w:val="Paragraphedeliste"/>
        <w:numPr>
          <w:ilvl w:val="0"/>
          <w:numId w:val="32"/>
        </w:numPr>
        <w:ind w:left="714" w:hanging="357"/>
        <w:rPr>
          <w:rFonts w:asciiTheme="minorHAnsi" w:hAnsiTheme="minorHAnsi"/>
          <w:szCs w:val="22"/>
        </w:rPr>
      </w:pPr>
      <w:r w:rsidRPr="00A74928">
        <w:rPr>
          <w:rFonts w:asciiTheme="minorHAnsi" w:hAnsiTheme="minorHAnsi"/>
          <w:szCs w:val="22"/>
        </w:rPr>
        <w:t>u</w:t>
      </w:r>
      <w:r w:rsidR="002668ED" w:rsidRPr="00A74928">
        <w:rPr>
          <w:rFonts w:asciiTheme="minorHAnsi" w:hAnsiTheme="minorHAnsi"/>
          <w:szCs w:val="22"/>
        </w:rPr>
        <w:t xml:space="preserve">n code </w:t>
      </w:r>
      <w:r w:rsidRPr="00A74928">
        <w:rPr>
          <w:rFonts w:asciiTheme="minorHAnsi" w:hAnsiTheme="minorHAnsi"/>
          <w:szCs w:val="22"/>
        </w:rPr>
        <w:t>nomenclature correspondant</w:t>
      </w:r>
      <w:r w:rsidR="002668ED" w:rsidRPr="00A74928">
        <w:rPr>
          <w:rFonts w:asciiTheme="minorHAnsi" w:hAnsiTheme="minorHAnsi"/>
          <w:szCs w:val="22"/>
        </w:rPr>
        <w:t xml:space="preserve"> à la </w:t>
      </w:r>
      <w:r w:rsidRPr="00A74928">
        <w:rPr>
          <w:rFonts w:asciiTheme="minorHAnsi" w:hAnsiTheme="minorHAnsi"/>
          <w:szCs w:val="22"/>
        </w:rPr>
        <w:t>nature</w:t>
      </w:r>
      <w:r w:rsidR="002668ED" w:rsidRPr="00A74928">
        <w:rPr>
          <w:rFonts w:asciiTheme="minorHAnsi" w:hAnsiTheme="minorHAnsi"/>
          <w:szCs w:val="22"/>
        </w:rPr>
        <w:t xml:space="preserve"> </w:t>
      </w:r>
      <w:r w:rsidR="006A6A68" w:rsidRPr="00A74928">
        <w:rPr>
          <w:rFonts w:asciiTheme="minorHAnsi" w:hAnsiTheme="minorHAnsi"/>
          <w:szCs w:val="22"/>
        </w:rPr>
        <w:t xml:space="preserve">économique de la </w:t>
      </w:r>
      <w:r w:rsidRPr="00A74928">
        <w:rPr>
          <w:rFonts w:asciiTheme="minorHAnsi" w:hAnsiTheme="minorHAnsi"/>
          <w:szCs w:val="22"/>
        </w:rPr>
        <w:t>transaction</w:t>
      </w:r>
      <w:r w:rsidR="006A6A68" w:rsidRPr="00A74928">
        <w:rPr>
          <w:rFonts w:asciiTheme="minorHAnsi" w:hAnsiTheme="minorHAnsi"/>
          <w:szCs w:val="22"/>
        </w:rPr>
        <w:t xml:space="preserve"> (biens, services, revenus, transferts ou investissements directs)</w:t>
      </w:r>
      <w:r w:rsidRPr="00A74928">
        <w:rPr>
          <w:rFonts w:asciiTheme="minorHAnsi" w:hAnsiTheme="minorHAnsi"/>
          <w:szCs w:val="22"/>
        </w:rPr>
        <w:t>,</w:t>
      </w:r>
    </w:p>
    <w:p w:rsidR="002668ED" w:rsidRPr="00A74928" w:rsidRDefault="00106B32" w:rsidP="00B221FA">
      <w:pPr>
        <w:pStyle w:val="Paragraphedeliste"/>
        <w:numPr>
          <w:ilvl w:val="0"/>
          <w:numId w:val="32"/>
        </w:numPr>
        <w:ind w:left="714" w:hanging="357"/>
        <w:rPr>
          <w:rFonts w:asciiTheme="minorHAnsi" w:hAnsiTheme="minorHAnsi"/>
          <w:szCs w:val="22"/>
        </w:rPr>
      </w:pPr>
      <w:r w:rsidRPr="00A74928">
        <w:rPr>
          <w:rFonts w:asciiTheme="minorHAnsi" w:hAnsiTheme="minorHAnsi"/>
          <w:szCs w:val="22"/>
        </w:rPr>
        <w:t>la monnaie d’opération,</w:t>
      </w:r>
    </w:p>
    <w:p w:rsidR="002668ED" w:rsidRPr="00A74928" w:rsidRDefault="00106B32" w:rsidP="00B221FA">
      <w:pPr>
        <w:pStyle w:val="Paragraphedeliste"/>
        <w:numPr>
          <w:ilvl w:val="0"/>
          <w:numId w:val="32"/>
        </w:numPr>
        <w:ind w:left="714" w:hanging="357"/>
        <w:rPr>
          <w:rFonts w:asciiTheme="minorHAnsi" w:hAnsiTheme="minorHAnsi"/>
          <w:szCs w:val="22"/>
        </w:rPr>
      </w:pPr>
      <w:r w:rsidRPr="00A74928">
        <w:rPr>
          <w:rFonts w:asciiTheme="minorHAnsi" w:hAnsiTheme="minorHAnsi"/>
          <w:szCs w:val="22"/>
        </w:rPr>
        <w:t>le pays de résidence de la contrepartie étrangère,</w:t>
      </w:r>
    </w:p>
    <w:p w:rsidR="006A6A68" w:rsidRPr="00A74928" w:rsidRDefault="00106B32" w:rsidP="00B221FA">
      <w:pPr>
        <w:pStyle w:val="Paragraphedeliste"/>
        <w:numPr>
          <w:ilvl w:val="0"/>
          <w:numId w:val="32"/>
        </w:numPr>
        <w:ind w:left="714" w:hanging="357"/>
        <w:rPr>
          <w:rFonts w:asciiTheme="minorHAnsi" w:hAnsiTheme="minorHAnsi"/>
          <w:szCs w:val="22"/>
        </w:rPr>
      </w:pPr>
      <w:r w:rsidRPr="00A74928">
        <w:rPr>
          <w:rFonts w:asciiTheme="minorHAnsi" w:hAnsiTheme="minorHAnsi"/>
          <w:szCs w:val="22"/>
        </w:rPr>
        <w:t>l</w:t>
      </w:r>
      <w:r w:rsidR="00B812B1" w:rsidRPr="00A74928">
        <w:rPr>
          <w:rFonts w:asciiTheme="minorHAnsi" w:hAnsiTheme="minorHAnsi"/>
          <w:szCs w:val="22"/>
        </w:rPr>
        <w:t>e montant</w:t>
      </w:r>
      <w:r w:rsidRPr="00A74928">
        <w:rPr>
          <w:rFonts w:asciiTheme="minorHAnsi" w:hAnsiTheme="minorHAnsi"/>
          <w:szCs w:val="22"/>
        </w:rPr>
        <w:t xml:space="preserve"> de l’opération et son sens</w:t>
      </w:r>
      <w:r w:rsidR="006A6A68" w:rsidRPr="00A74928">
        <w:rPr>
          <w:rFonts w:asciiTheme="minorHAnsi" w:hAnsiTheme="minorHAnsi"/>
          <w:szCs w:val="22"/>
        </w:rPr>
        <w:t>,</w:t>
      </w:r>
    </w:p>
    <w:p w:rsidR="002668ED" w:rsidRPr="00A74928" w:rsidRDefault="006A6A68" w:rsidP="00B221FA">
      <w:pPr>
        <w:pStyle w:val="Paragraphedeliste"/>
        <w:numPr>
          <w:ilvl w:val="0"/>
          <w:numId w:val="32"/>
        </w:numPr>
        <w:ind w:left="714" w:hanging="357"/>
        <w:rPr>
          <w:rFonts w:asciiTheme="minorHAnsi" w:hAnsiTheme="minorHAnsi"/>
          <w:szCs w:val="22"/>
        </w:rPr>
      </w:pPr>
      <w:r w:rsidRPr="00A74928">
        <w:rPr>
          <w:rFonts w:asciiTheme="minorHAnsi" w:hAnsiTheme="minorHAnsi"/>
          <w:szCs w:val="22"/>
        </w:rPr>
        <w:t>le mois de référence</w:t>
      </w:r>
      <w:r w:rsidR="00106B32" w:rsidRPr="00A74928">
        <w:rPr>
          <w:rFonts w:asciiTheme="minorHAnsi" w:hAnsiTheme="minorHAnsi"/>
          <w:szCs w:val="22"/>
        </w:rPr>
        <w:t>.</w:t>
      </w:r>
    </w:p>
    <w:p w:rsidR="002668ED" w:rsidRPr="00A74928" w:rsidRDefault="002668ED" w:rsidP="002668ED">
      <w:pPr>
        <w:rPr>
          <w:rFonts w:asciiTheme="minorHAnsi" w:hAnsiTheme="minorHAnsi"/>
          <w:szCs w:val="22"/>
        </w:rPr>
      </w:pPr>
    </w:p>
    <w:p w:rsidR="002668ED" w:rsidRPr="00A74928" w:rsidRDefault="006A6A68" w:rsidP="002668ED">
      <w:pPr>
        <w:rPr>
          <w:rFonts w:asciiTheme="minorHAnsi" w:hAnsiTheme="minorHAnsi"/>
          <w:szCs w:val="22"/>
        </w:rPr>
      </w:pPr>
      <w:r w:rsidRPr="00A74928">
        <w:rPr>
          <w:rFonts w:asciiTheme="minorHAnsi" w:hAnsiTheme="minorHAnsi"/>
          <w:szCs w:val="22"/>
        </w:rPr>
        <w:t>Sauf erreur, qui peut justifier dans certains cas une déclaration complémentaire, le document doit faire l’objet d’une seule déclaration récapitulative des mouvements du même mois. L</w:t>
      </w:r>
      <w:r w:rsidR="002668ED" w:rsidRPr="00A74928">
        <w:rPr>
          <w:rFonts w:asciiTheme="minorHAnsi" w:hAnsiTheme="minorHAnsi"/>
          <w:szCs w:val="22"/>
        </w:rPr>
        <w:t>a d</w:t>
      </w:r>
      <w:r w:rsidRPr="00A74928">
        <w:rPr>
          <w:rFonts w:asciiTheme="minorHAnsi" w:hAnsiTheme="minorHAnsi"/>
          <w:szCs w:val="22"/>
        </w:rPr>
        <w:t xml:space="preserve">éclaration de </w:t>
      </w:r>
      <w:r w:rsidR="00762A4C" w:rsidRPr="00A74928">
        <w:rPr>
          <w:rFonts w:asciiTheme="minorHAnsi" w:hAnsiTheme="minorHAnsi"/>
          <w:szCs w:val="22"/>
        </w:rPr>
        <w:t>flux</w:t>
      </w:r>
      <w:r w:rsidRPr="00A74928">
        <w:rPr>
          <w:rFonts w:asciiTheme="minorHAnsi" w:hAnsiTheme="minorHAnsi"/>
          <w:szCs w:val="22"/>
        </w:rPr>
        <w:t xml:space="preserve"> individuel</w:t>
      </w:r>
      <w:r w:rsidR="00762A4C" w:rsidRPr="00A74928">
        <w:rPr>
          <w:rFonts w:asciiTheme="minorHAnsi" w:hAnsiTheme="minorHAnsi"/>
          <w:szCs w:val="22"/>
        </w:rPr>
        <w:t>s n’est pas autorisée. Les transactions doi</w:t>
      </w:r>
      <w:r w:rsidRPr="00A74928">
        <w:rPr>
          <w:rFonts w:asciiTheme="minorHAnsi" w:hAnsiTheme="minorHAnsi"/>
          <w:szCs w:val="22"/>
        </w:rPr>
        <w:t>vent être en principe agrégé</w:t>
      </w:r>
      <w:r w:rsidR="00762A4C" w:rsidRPr="00A74928">
        <w:rPr>
          <w:rFonts w:asciiTheme="minorHAnsi" w:hAnsiTheme="minorHAnsi"/>
          <w:szCs w:val="22"/>
        </w:rPr>
        <w:t>e</w:t>
      </w:r>
      <w:r w:rsidRPr="00A74928">
        <w:rPr>
          <w:rFonts w:asciiTheme="minorHAnsi" w:hAnsiTheme="minorHAnsi"/>
          <w:szCs w:val="22"/>
        </w:rPr>
        <w:t>s par période de référence lorsqu’</w:t>
      </w:r>
      <w:r w:rsidR="00762A4C" w:rsidRPr="00A74928">
        <w:rPr>
          <w:rFonts w:asciiTheme="minorHAnsi" w:hAnsiTheme="minorHAnsi"/>
          <w:szCs w:val="22"/>
        </w:rPr>
        <w:t>elles</w:t>
      </w:r>
      <w:r w:rsidRPr="00A74928">
        <w:rPr>
          <w:rFonts w:asciiTheme="minorHAnsi" w:hAnsiTheme="minorHAnsi"/>
          <w:szCs w:val="22"/>
        </w:rPr>
        <w:t xml:space="preserve"> présentent les mêmes caractéristiques (code, monnaie, pays, sens).</w:t>
      </w:r>
    </w:p>
    <w:p w:rsidR="00C9045F" w:rsidRPr="00A74928" w:rsidRDefault="00C9045F" w:rsidP="007506B0">
      <w:pPr>
        <w:pStyle w:val="Default"/>
        <w:rPr>
          <w:rFonts w:asciiTheme="minorHAnsi" w:hAnsiTheme="minorHAnsi"/>
          <w:sz w:val="22"/>
          <w:szCs w:val="22"/>
        </w:rPr>
      </w:pPr>
    </w:p>
    <w:p w:rsidR="00444094" w:rsidRDefault="00444094" w:rsidP="007506B0">
      <w:pPr>
        <w:pStyle w:val="Default"/>
        <w:rPr>
          <w:sz w:val="22"/>
          <w:szCs w:val="22"/>
        </w:rPr>
      </w:pPr>
    </w:p>
    <w:p w:rsidR="007506B0" w:rsidRPr="00453900" w:rsidRDefault="007506B0" w:rsidP="007506B0">
      <w:pPr>
        <w:pStyle w:val="Titre2"/>
        <w:numPr>
          <w:ilvl w:val="0"/>
          <w:numId w:val="0"/>
        </w:numPr>
        <w:spacing w:before="0" w:after="0"/>
        <w:rPr>
          <w:rFonts w:cs="Arial"/>
          <w:b/>
          <w:sz w:val="22"/>
          <w:szCs w:val="22"/>
        </w:rPr>
      </w:pPr>
      <w:r w:rsidRPr="00453900">
        <w:rPr>
          <w:rFonts w:cs="Arial"/>
          <w:b/>
          <w:sz w:val="22"/>
          <w:szCs w:val="22"/>
        </w:rPr>
        <w:t>Code nomenclature</w:t>
      </w:r>
    </w:p>
    <w:p w:rsidR="007506B0" w:rsidRPr="00453900" w:rsidRDefault="007506B0" w:rsidP="007506B0">
      <w:pPr>
        <w:rPr>
          <w:szCs w:val="22"/>
        </w:rPr>
      </w:pPr>
    </w:p>
    <w:p w:rsidR="002668ED" w:rsidRPr="00A74928" w:rsidRDefault="00762A4C" w:rsidP="002668ED">
      <w:pPr>
        <w:pStyle w:val="Titre3"/>
        <w:numPr>
          <w:ilvl w:val="0"/>
          <w:numId w:val="0"/>
        </w:numPr>
        <w:spacing w:before="0" w:after="0"/>
        <w:jc w:val="both"/>
        <w:rPr>
          <w:rFonts w:asciiTheme="minorHAnsi" w:hAnsiTheme="minorHAnsi"/>
          <w:b w:val="0"/>
          <w:color w:val="000000"/>
          <w:sz w:val="22"/>
          <w:szCs w:val="22"/>
        </w:rPr>
      </w:pPr>
      <w:r w:rsidRPr="00A74928">
        <w:rPr>
          <w:rFonts w:asciiTheme="minorHAnsi" w:hAnsiTheme="minorHAnsi"/>
          <w:b w:val="0"/>
          <w:sz w:val="22"/>
          <w:szCs w:val="22"/>
        </w:rPr>
        <w:t>La déclaration doit respecter</w:t>
      </w:r>
      <w:r w:rsidR="00B6226E" w:rsidRPr="00A74928">
        <w:rPr>
          <w:rFonts w:asciiTheme="minorHAnsi" w:hAnsiTheme="minorHAnsi"/>
          <w:b w:val="0"/>
          <w:sz w:val="22"/>
          <w:szCs w:val="22"/>
        </w:rPr>
        <w:t xml:space="preserve"> une nomenclature </w:t>
      </w:r>
      <w:r w:rsidRPr="00A74928">
        <w:rPr>
          <w:rFonts w:asciiTheme="minorHAnsi" w:hAnsiTheme="minorHAnsi"/>
          <w:b w:val="0"/>
          <w:sz w:val="22"/>
          <w:szCs w:val="22"/>
        </w:rPr>
        <w:t xml:space="preserve">économique </w:t>
      </w:r>
      <w:r w:rsidR="00B6226E" w:rsidRPr="00A74928">
        <w:rPr>
          <w:rFonts w:asciiTheme="minorHAnsi" w:hAnsiTheme="minorHAnsi"/>
          <w:b w:val="0"/>
          <w:sz w:val="22"/>
          <w:szCs w:val="22"/>
        </w:rPr>
        <w:t xml:space="preserve">propre à la balance des paiements qui correspond à la nature des opérations </w:t>
      </w:r>
      <w:r w:rsidRPr="00A74928">
        <w:rPr>
          <w:rFonts w:asciiTheme="minorHAnsi" w:hAnsiTheme="minorHAnsi"/>
          <w:b w:val="0"/>
          <w:sz w:val="22"/>
          <w:szCs w:val="22"/>
        </w:rPr>
        <w:t xml:space="preserve">telle qu’elle doit être appréhendée en comptabilité nationale </w:t>
      </w:r>
      <w:r w:rsidR="00B6226E" w:rsidRPr="00A74928">
        <w:rPr>
          <w:rFonts w:asciiTheme="minorHAnsi" w:hAnsiTheme="minorHAnsi"/>
          <w:b w:val="0"/>
          <w:sz w:val="22"/>
          <w:szCs w:val="22"/>
        </w:rPr>
        <w:t>(</w:t>
      </w:r>
      <w:r w:rsidR="009E29DA" w:rsidRPr="00A74928">
        <w:rPr>
          <w:rFonts w:asciiTheme="minorHAnsi" w:hAnsiTheme="minorHAnsi"/>
          <w:b w:val="0"/>
          <w:sz w:val="22"/>
          <w:szCs w:val="22"/>
        </w:rPr>
        <w:t>cf. </w:t>
      </w:r>
      <w:r w:rsidR="00B6226E" w:rsidRPr="00A74928">
        <w:rPr>
          <w:rFonts w:asciiTheme="minorHAnsi" w:hAnsiTheme="minorHAnsi"/>
          <w:b w:val="0"/>
          <w:sz w:val="22"/>
          <w:szCs w:val="22"/>
        </w:rPr>
        <w:t>parag</w:t>
      </w:r>
      <w:r w:rsidRPr="00A74928">
        <w:rPr>
          <w:rFonts w:asciiTheme="minorHAnsi" w:hAnsiTheme="minorHAnsi"/>
          <w:b w:val="0"/>
          <w:sz w:val="22"/>
          <w:szCs w:val="22"/>
        </w:rPr>
        <w:t>raphe</w:t>
      </w:r>
      <w:r w:rsidR="00B6226E" w:rsidRPr="00A74928">
        <w:rPr>
          <w:rFonts w:asciiTheme="minorHAnsi" w:hAnsiTheme="minorHAnsi"/>
          <w:b w:val="0"/>
          <w:sz w:val="22"/>
          <w:szCs w:val="22"/>
        </w:rPr>
        <w:t xml:space="preserve"> 2). L</w:t>
      </w:r>
      <w:r w:rsidR="007506B0" w:rsidRPr="00A74928">
        <w:rPr>
          <w:rFonts w:asciiTheme="minorHAnsi" w:hAnsiTheme="minorHAnsi"/>
          <w:b w:val="0"/>
          <w:color w:val="000000"/>
          <w:sz w:val="22"/>
          <w:szCs w:val="22"/>
        </w:rPr>
        <w:t xml:space="preserve">a codification </w:t>
      </w:r>
      <w:r w:rsidRPr="00A74928">
        <w:rPr>
          <w:rFonts w:asciiTheme="minorHAnsi" w:hAnsiTheme="minorHAnsi"/>
          <w:b w:val="0"/>
          <w:color w:val="000000"/>
          <w:sz w:val="22"/>
          <w:szCs w:val="22"/>
        </w:rPr>
        <w:t xml:space="preserve">à </w:t>
      </w:r>
      <w:r w:rsidR="00146E49" w:rsidRPr="00A74928">
        <w:rPr>
          <w:rFonts w:asciiTheme="minorHAnsi" w:hAnsiTheme="minorHAnsi"/>
          <w:b w:val="0"/>
          <w:color w:val="000000"/>
          <w:sz w:val="22"/>
          <w:szCs w:val="22"/>
        </w:rPr>
        <w:t>appliquer</w:t>
      </w:r>
      <w:r w:rsidR="007506B0" w:rsidRPr="00A74928">
        <w:rPr>
          <w:rFonts w:asciiTheme="minorHAnsi" w:hAnsiTheme="minorHAnsi"/>
          <w:b w:val="0"/>
          <w:color w:val="000000"/>
          <w:sz w:val="22"/>
          <w:szCs w:val="22"/>
        </w:rPr>
        <w:t xml:space="preserve"> est calée sur la nomenclature internationale (</w:t>
      </w:r>
      <w:r w:rsidRPr="00A74928">
        <w:rPr>
          <w:rFonts w:asciiTheme="minorHAnsi" w:hAnsiTheme="minorHAnsi"/>
          <w:b w:val="0"/>
          <w:color w:val="000000"/>
          <w:sz w:val="22"/>
          <w:szCs w:val="22"/>
        </w:rPr>
        <w:t xml:space="preserve">telle que définie par la méthodologie commune du FMI, de la </w:t>
      </w:r>
      <w:r w:rsidR="007506B0" w:rsidRPr="00A74928">
        <w:rPr>
          <w:rFonts w:asciiTheme="minorHAnsi" w:hAnsiTheme="minorHAnsi"/>
          <w:b w:val="0"/>
          <w:color w:val="000000"/>
          <w:sz w:val="22"/>
          <w:szCs w:val="22"/>
        </w:rPr>
        <w:t>BCE</w:t>
      </w:r>
      <w:r w:rsidRPr="00A74928">
        <w:rPr>
          <w:rFonts w:asciiTheme="minorHAnsi" w:hAnsiTheme="minorHAnsi"/>
          <w:b w:val="0"/>
          <w:color w:val="000000"/>
          <w:sz w:val="22"/>
          <w:szCs w:val="22"/>
        </w:rPr>
        <w:t xml:space="preserve"> et d’</w:t>
      </w:r>
      <w:r w:rsidR="007506B0" w:rsidRPr="00A74928">
        <w:rPr>
          <w:rFonts w:asciiTheme="minorHAnsi" w:hAnsiTheme="minorHAnsi"/>
          <w:b w:val="0"/>
          <w:color w:val="000000"/>
          <w:sz w:val="22"/>
          <w:szCs w:val="22"/>
        </w:rPr>
        <w:t>E</w:t>
      </w:r>
      <w:r w:rsidR="00146E49" w:rsidRPr="00A74928">
        <w:rPr>
          <w:rFonts w:asciiTheme="minorHAnsi" w:hAnsiTheme="minorHAnsi"/>
          <w:b w:val="0"/>
          <w:color w:val="000000"/>
          <w:sz w:val="22"/>
          <w:szCs w:val="22"/>
        </w:rPr>
        <w:t>UROSTAT), suivant les exigences du 6</w:t>
      </w:r>
      <w:r w:rsidR="00146E49" w:rsidRPr="00A74928">
        <w:rPr>
          <w:rFonts w:asciiTheme="minorHAnsi" w:hAnsiTheme="minorHAnsi"/>
          <w:b w:val="0"/>
          <w:color w:val="000000"/>
          <w:sz w:val="22"/>
          <w:szCs w:val="22"/>
          <w:vertAlign w:val="superscript"/>
        </w:rPr>
        <w:t>e</w:t>
      </w:r>
      <w:r w:rsidR="002619AE">
        <w:rPr>
          <w:rFonts w:asciiTheme="minorHAnsi" w:hAnsiTheme="minorHAnsi"/>
          <w:b w:val="0"/>
          <w:color w:val="000000"/>
          <w:sz w:val="22"/>
          <w:szCs w:val="22"/>
        </w:rPr>
        <w:t> </w:t>
      </w:r>
      <w:r w:rsidR="00146E49" w:rsidRPr="00A74928">
        <w:rPr>
          <w:rFonts w:asciiTheme="minorHAnsi" w:hAnsiTheme="minorHAnsi"/>
          <w:b w:val="0"/>
          <w:color w:val="000000"/>
          <w:sz w:val="22"/>
          <w:szCs w:val="22"/>
        </w:rPr>
        <w:t xml:space="preserve">Manuel de la balance des paiements. </w:t>
      </w:r>
    </w:p>
    <w:p w:rsidR="002668ED" w:rsidRPr="00A74928" w:rsidRDefault="002668ED" w:rsidP="002668ED">
      <w:pPr>
        <w:pStyle w:val="Titre3"/>
        <w:numPr>
          <w:ilvl w:val="0"/>
          <w:numId w:val="0"/>
        </w:numPr>
        <w:spacing w:before="0" w:after="0"/>
        <w:jc w:val="both"/>
        <w:rPr>
          <w:rFonts w:asciiTheme="minorHAnsi" w:hAnsiTheme="minorHAnsi"/>
          <w:b w:val="0"/>
          <w:color w:val="000000"/>
          <w:sz w:val="22"/>
          <w:szCs w:val="22"/>
        </w:rPr>
      </w:pPr>
    </w:p>
    <w:p w:rsidR="00B6226E" w:rsidRPr="00A74928" w:rsidRDefault="00522353" w:rsidP="00522353">
      <w:pPr>
        <w:rPr>
          <w:rFonts w:asciiTheme="minorHAnsi" w:hAnsiTheme="minorHAnsi"/>
          <w:color w:val="000000"/>
          <w:szCs w:val="22"/>
        </w:rPr>
      </w:pPr>
      <w:r w:rsidRPr="00A74928">
        <w:rPr>
          <w:rFonts w:asciiTheme="minorHAnsi" w:hAnsiTheme="minorHAnsi"/>
          <w:color w:val="000000"/>
          <w:szCs w:val="22"/>
        </w:rPr>
        <w:t>Pour chaque rubrique à déclarer une définition précise est donnée dans la nomenclature générale des codes de transactions disponible sur le site de la Banque de France</w:t>
      </w:r>
      <w:r w:rsidR="00DC78A5" w:rsidRPr="00A74928">
        <w:rPr>
          <w:rFonts w:asciiTheme="minorHAnsi" w:hAnsiTheme="minorHAnsi"/>
          <w:color w:val="000000"/>
          <w:szCs w:val="22"/>
        </w:rPr>
        <w:t xml:space="preserve"> sous l’</w:t>
      </w:r>
      <w:r w:rsidR="009650A0" w:rsidRPr="00A74928">
        <w:rPr>
          <w:rFonts w:asciiTheme="minorHAnsi" w:hAnsiTheme="minorHAnsi"/>
          <w:color w:val="000000"/>
          <w:szCs w:val="22"/>
        </w:rPr>
        <w:t> « E</w:t>
      </w:r>
      <w:r w:rsidR="00DC78A5" w:rsidRPr="00A74928">
        <w:rPr>
          <w:rFonts w:asciiTheme="minorHAnsi" w:hAnsiTheme="minorHAnsi"/>
          <w:color w:val="000000"/>
          <w:szCs w:val="22"/>
        </w:rPr>
        <w:t>space déclarants DDG</w:t>
      </w:r>
      <w:r w:rsidR="009650A0" w:rsidRPr="00A74928">
        <w:rPr>
          <w:rFonts w:asciiTheme="minorHAnsi" w:hAnsiTheme="minorHAnsi"/>
          <w:color w:val="000000"/>
          <w:szCs w:val="22"/>
        </w:rPr>
        <w:t> »</w:t>
      </w:r>
      <w:r w:rsidRPr="00A74928">
        <w:rPr>
          <w:rFonts w:asciiTheme="minorHAnsi" w:hAnsiTheme="minorHAnsi"/>
          <w:color w:val="000000"/>
          <w:szCs w:val="22"/>
        </w:rPr>
        <w:t xml:space="preserve">. </w:t>
      </w:r>
      <w:r w:rsidR="00E9185E" w:rsidRPr="00A74928">
        <w:rPr>
          <w:rFonts w:asciiTheme="minorHAnsi" w:hAnsiTheme="minorHAnsi"/>
          <w:color w:val="000000"/>
          <w:szCs w:val="22"/>
        </w:rPr>
        <w:t>L’actualisation de ces référentiels est réalisée en fonction de l’évolution du cahier des charges défini au niveau européen pour la production des séries de résultats de la balance des paiements.</w:t>
      </w:r>
    </w:p>
    <w:p w:rsidR="00E9185E" w:rsidRPr="00444094" w:rsidRDefault="00E9185E" w:rsidP="00522353">
      <w:pPr>
        <w:rPr>
          <w:color w:val="000000"/>
          <w:sz w:val="16"/>
          <w:szCs w:val="16"/>
        </w:rPr>
      </w:pPr>
    </w:p>
    <w:p w:rsidR="00D75F0A" w:rsidRDefault="00F77357" w:rsidP="00D75F0A">
      <w:pPr>
        <w:rPr>
          <w:rFonts w:ascii="Calibri" w:hAnsi="Calibri" w:cs="Calibri"/>
          <w:szCs w:val="22"/>
        </w:rPr>
      </w:pPr>
      <w:hyperlink r:id="rId10" w:history="1">
        <w:r w:rsidR="004353DC" w:rsidRPr="00FD1A60">
          <w:rPr>
            <w:rStyle w:val="Lienhypertexte"/>
            <w:rFonts w:ascii="Calibri" w:hAnsi="Calibri" w:cs="Calibri"/>
            <w:szCs w:val="22"/>
          </w:rPr>
          <w:t>https://www.banque-france.fr/statistiques/espace-declarants/entreprises/declaration-directe-generale-la-balance-des-paiements</w:t>
        </w:r>
      </w:hyperlink>
    </w:p>
    <w:p w:rsidR="004353DC" w:rsidRPr="00D75F0A" w:rsidRDefault="004353DC" w:rsidP="00D75F0A">
      <w:pPr>
        <w:rPr>
          <w:rFonts w:ascii="Calibri" w:hAnsi="Calibri" w:cs="Calibri"/>
          <w:szCs w:val="22"/>
        </w:rPr>
      </w:pPr>
    </w:p>
    <w:p w:rsidR="00DC78A5" w:rsidRDefault="00DC78A5" w:rsidP="00522353">
      <w:pPr>
        <w:rPr>
          <w:color w:val="000000"/>
          <w:szCs w:val="22"/>
        </w:rPr>
      </w:pPr>
    </w:p>
    <w:p w:rsidR="009650A0" w:rsidRPr="00453900" w:rsidRDefault="009650A0" w:rsidP="009650A0">
      <w:pPr>
        <w:pStyle w:val="Titre4"/>
        <w:numPr>
          <w:ilvl w:val="0"/>
          <w:numId w:val="0"/>
        </w:numPr>
        <w:rPr>
          <w:rFonts w:cs="Arial"/>
          <w:b/>
          <w:szCs w:val="22"/>
        </w:rPr>
      </w:pPr>
      <w:r w:rsidRPr="00453900">
        <w:rPr>
          <w:rFonts w:cs="Arial"/>
          <w:b/>
          <w:szCs w:val="22"/>
        </w:rPr>
        <w:t>Codes monnaie et pays</w:t>
      </w:r>
    </w:p>
    <w:p w:rsidR="009650A0" w:rsidRPr="00A74928" w:rsidRDefault="009650A0" w:rsidP="00430771">
      <w:pPr>
        <w:rPr>
          <w:rFonts w:asciiTheme="minorHAnsi" w:hAnsiTheme="minorHAnsi"/>
          <w:szCs w:val="22"/>
        </w:rPr>
      </w:pPr>
      <w:r w:rsidRPr="00A74928">
        <w:rPr>
          <w:rFonts w:asciiTheme="minorHAnsi" w:hAnsiTheme="minorHAnsi"/>
          <w:szCs w:val="22"/>
        </w:rPr>
        <w:t xml:space="preserve">Le code monnaie correspond à la devise dans laquelle la facture a été établie ou reçue, l’investissement ou le désinvestissement direct a été réalisé, </w:t>
      </w:r>
      <w:r w:rsidR="00430771" w:rsidRPr="00A74928">
        <w:rPr>
          <w:rFonts w:asciiTheme="minorHAnsi" w:hAnsiTheme="minorHAnsi"/>
          <w:szCs w:val="22"/>
        </w:rPr>
        <w:t xml:space="preserve">le revenu a été versé ou payé. </w:t>
      </w:r>
      <w:r w:rsidRPr="00A74928">
        <w:rPr>
          <w:rFonts w:asciiTheme="minorHAnsi" w:hAnsiTheme="minorHAnsi"/>
          <w:szCs w:val="22"/>
        </w:rPr>
        <w:t xml:space="preserve">Le code pays est celui de la résidence de l’entité contrepartie dans l’opération ou éventuellement celui de l’intermédiaire. Il correspond au pays de résidence du client ou du fournisseur, de la société </w:t>
      </w:r>
      <w:r w:rsidR="00900681" w:rsidRPr="00A74928">
        <w:rPr>
          <w:rFonts w:asciiTheme="minorHAnsi" w:hAnsiTheme="minorHAnsi"/>
          <w:szCs w:val="22"/>
        </w:rPr>
        <w:t xml:space="preserve"> où </w:t>
      </w:r>
      <w:r w:rsidRPr="00A74928">
        <w:rPr>
          <w:rFonts w:asciiTheme="minorHAnsi" w:hAnsiTheme="minorHAnsi"/>
          <w:szCs w:val="22"/>
        </w:rPr>
        <w:t>a été réalisé l’investissement ou le désinvestissement, de la filiale ou de la société du groupe avec laquelle un dividende a été échangé.</w:t>
      </w:r>
    </w:p>
    <w:p w:rsidR="009650A0" w:rsidRPr="00A74928" w:rsidRDefault="009650A0" w:rsidP="009650A0">
      <w:pPr>
        <w:rPr>
          <w:rFonts w:asciiTheme="minorHAnsi" w:hAnsiTheme="minorHAnsi"/>
          <w:szCs w:val="22"/>
        </w:rPr>
      </w:pPr>
    </w:p>
    <w:p w:rsidR="009650A0" w:rsidRPr="00A74928" w:rsidRDefault="009650A0" w:rsidP="00C02990">
      <w:pPr>
        <w:rPr>
          <w:rFonts w:asciiTheme="minorHAnsi" w:hAnsiTheme="minorHAnsi"/>
          <w:color w:val="000000" w:themeColor="text1"/>
          <w:szCs w:val="22"/>
        </w:rPr>
      </w:pPr>
      <w:r w:rsidRPr="00A74928">
        <w:rPr>
          <w:rFonts w:asciiTheme="minorHAnsi" w:hAnsiTheme="minorHAnsi"/>
          <w:color w:val="000000" w:themeColor="text1"/>
          <w:szCs w:val="22"/>
        </w:rPr>
        <w:t>Pour certaines opérations ou certaines catégories d’activités, il est possible qu’un intermédiaire (par exemple consignataire</w:t>
      </w:r>
      <w:r w:rsidR="00116825" w:rsidRPr="00A74928">
        <w:rPr>
          <w:rFonts w:asciiTheme="minorHAnsi" w:hAnsiTheme="minorHAnsi"/>
          <w:color w:val="000000" w:themeColor="text1"/>
          <w:szCs w:val="22"/>
        </w:rPr>
        <w:t xml:space="preserve"> ou</w:t>
      </w:r>
      <w:r w:rsidRPr="00A74928">
        <w:rPr>
          <w:rFonts w:asciiTheme="minorHAnsi" w:hAnsiTheme="minorHAnsi"/>
          <w:color w:val="000000" w:themeColor="text1"/>
          <w:szCs w:val="22"/>
        </w:rPr>
        <w:t xml:space="preserve"> mandataire) fasse écran par rapport au client final ou à la contrepartie finale. Dans ce cas, et si le déclarant n’a pas à connaître dans son activité la contrepartie finale (pour des raisons juridiques, comptables ou de gestion, aucun paiement ou contrat n’étant conclu avec ce tiers), le pays de l’intermédiaire peut tenir lieu de pays de contrepartie.</w:t>
      </w:r>
    </w:p>
    <w:p w:rsidR="009650A0" w:rsidRPr="00453900" w:rsidRDefault="009650A0" w:rsidP="009650A0">
      <w:pPr>
        <w:pStyle w:val="Default"/>
        <w:jc w:val="both"/>
        <w:rPr>
          <w:sz w:val="22"/>
          <w:szCs w:val="22"/>
        </w:rPr>
      </w:pPr>
    </w:p>
    <w:p w:rsidR="009650A0" w:rsidRPr="00A74928" w:rsidRDefault="009650A0" w:rsidP="009650A0">
      <w:pPr>
        <w:pStyle w:val="Default"/>
        <w:jc w:val="both"/>
        <w:rPr>
          <w:rFonts w:asciiTheme="minorHAnsi" w:hAnsiTheme="minorHAnsi"/>
          <w:sz w:val="22"/>
          <w:szCs w:val="22"/>
        </w:rPr>
      </w:pPr>
      <w:r w:rsidRPr="00A74928">
        <w:rPr>
          <w:rFonts w:asciiTheme="minorHAnsi" w:hAnsiTheme="minorHAnsi"/>
          <w:sz w:val="22"/>
          <w:szCs w:val="22"/>
        </w:rPr>
        <w:lastRenderedPageBreak/>
        <w:t>L’identification précise du code pays est indispensable dans la mesure où il conditionne notamment l’établissement des balances bilatérales entre la France et ses partenaires et l’identification des échanges de la zone euro. Les informations ne peuvent en aucun cas être regroupées.</w:t>
      </w:r>
    </w:p>
    <w:p w:rsidR="009650A0" w:rsidRPr="00A74928" w:rsidRDefault="009650A0" w:rsidP="009650A0">
      <w:pPr>
        <w:pStyle w:val="Default"/>
        <w:jc w:val="both"/>
        <w:rPr>
          <w:rFonts w:asciiTheme="minorHAnsi" w:hAnsiTheme="minorHAnsi"/>
          <w:sz w:val="22"/>
          <w:szCs w:val="22"/>
        </w:rPr>
      </w:pPr>
    </w:p>
    <w:p w:rsidR="009650A0" w:rsidRPr="00A74928" w:rsidRDefault="009650A0" w:rsidP="009650A0">
      <w:pPr>
        <w:pStyle w:val="Default"/>
        <w:jc w:val="both"/>
        <w:rPr>
          <w:rFonts w:asciiTheme="minorHAnsi" w:hAnsiTheme="minorHAnsi"/>
          <w:sz w:val="22"/>
          <w:szCs w:val="22"/>
        </w:rPr>
      </w:pPr>
      <w:r w:rsidRPr="00A74928">
        <w:rPr>
          <w:rFonts w:asciiTheme="minorHAnsi" w:hAnsiTheme="minorHAnsi"/>
          <w:sz w:val="22"/>
          <w:szCs w:val="22"/>
        </w:rPr>
        <w:t>La nomenclature de référence</w:t>
      </w:r>
      <w:r w:rsidR="00A81F3A" w:rsidRPr="00A74928">
        <w:rPr>
          <w:rFonts w:asciiTheme="minorHAnsi" w:hAnsiTheme="minorHAnsi"/>
          <w:sz w:val="22"/>
          <w:szCs w:val="22"/>
        </w:rPr>
        <w:t xml:space="preserve"> (codification ISO)</w:t>
      </w:r>
      <w:r w:rsidR="00430771" w:rsidRPr="00A74928">
        <w:rPr>
          <w:rFonts w:asciiTheme="minorHAnsi" w:hAnsiTheme="minorHAnsi"/>
          <w:sz w:val="22"/>
          <w:szCs w:val="22"/>
        </w:rPr>
        <w:t xml:space="preserve">, identique à celle </w:t>
      </w:r>
      <w:r w:rsidR="00DE7F12" w:rsidRPr="00A74928">
        <w:rPr>
          <w:rFonts w:asciiTheme="minorHAnsi" w:hAnsiTheme="minorHAnsi"/>
          <w:sz w:val="22"/>
          <w:szCs w:val="22"/>
        </w:rPr>
        <w:t>utilisée pour les</w:t>
      </w:r>
      <w:r w:rsidR="00430771" w:rsidRPr="00A74928">
        <w:rPr>
          <w:rFonts w:asciiTheme="minorHAnsi" w:hAnsiTheme="minorHAnsi"/>
          <w:sz w:val="22"/>
          <w:szCs w:val="22"/>
        </w:rPr>
        <w:t xml:space="preserve"> autres déclarations balanc</w:t>
      </w:r>
      <w:r w:rsidR="00DE7F12" w:rsidRPr="00A74928">
        <w:rPr>
          <w:rFonts w:asciiTheme="minorHAnsi" w:hAnsiTheme="minorHAnsi"/>
          <w:sz w:val="22"/>
          <w:szCs w:val="22"/>
        </w:rPr>
        <w:t>e</w:t>
      </w:r>
      <w:r w:rsidR="00430771" w:rsidRPr="00A74928">
        <w:rPr>
          <w:rFonts w:asciiTheme="minorHAnsi" w:hAnsiTheme="minorHAnsi"/>
          <w:sz w:val="22"/>
          <w:szCs w:val="22"/>
        </w:rPr>
        <w:t xml:space="preserve"> des paiements, </w:t>
      </w:r>
      <w:r w:rsidRPr="00A74928">
        <w:rPr>
          <w:rFonts w:asciiTheme="minorHAnsi" w:hAnsiTheme="minorHAnsi"/>
          <w:sz w:val="22"/>
          <w:szCs w:val="22"/>
        </w:rPr>
        <w:t>est disponible sur le site internet de la Banque de France sous la rubrique « Espace déclarants/ DDG »</w:t>
      </w:r>
      <w:r w:rsidR="00430771" w:rsidRPr="00A74928">
        <w:rPr>
          <w:rFonts w:asciiTheme="minorHAnsi" w:hAnsiTheme="minorHAnsi"/>
          <w:sz w:val="22"/>
          <w:szCs w:val="22"/>
        </w:rPr>
        <w:t xml:space="preserve">, </w:t>
      </w:r>
      <w:r w:rsidR="00036294" w:rsidRPr="00A74928">
        <w:rPr>
          <w:rFonts w:asciiTheme="minorHAnsi" w:hAnsiTheme="minorHAnsi"/>
          <w:sz w:val="22"/>
          <w:szCs w:val="22"/>
        </w:rPr>
        <w:t xml:space="preserve">immédiatement </w:t>
      </w:r>
      <w:r w:rsidR="00430771" w:rsidRPr="00A74928">
        <w:rPr>
          <w:rFonts w:asciiTheme="minorHAnsi" w:hAnsiTheme="minorHAnsi"/>
          <w:sz w:val="22"/>
          <w:szCs w:val="22"/>
        </w:rPr>
        <w:t xml:space="preserve">à la suite de </w:t>
      </w:r>
      <w:r w:rsidR="00036294" w:rsidRPr="00A74928">
        <w:rPr>
          <w:rFonts w:asciiTheme="minorHAnsi" w:hAnsiTheme="minorHAnsi"/>
          <w:sz w:val="22"/>
          <w:szCs w:val="22"/>
        </w:rPr>
        <w:t xml:space="preserve">l’ensemble de la documentation </w:t>
      </w:r>
      <w:r w:rsidR="00BA66F7" w:rsidRPr="00A74928">
        <w:rPr>
          <w:rFonts w:asciiTheme="minorHAnsi" w:hAnsiTheme="minorHAnsi"/>
          <w:sz w:val="22"/>
          <w:szCs w:val="22"/>
        </w:rPr>
        <w:t>du RTE</w:t>
      </w:r>
      <w:r w:rsidR="00430771" w:rsidRPr="00A74928">
        <w:rPr>
          <w:rFonts w:asciiTheme="minorHAnsi" w:hAnsiTheme="minorHAnsi"/>
          <w:sz w:val="22"/>
          <w:szCs w:val="22"/>
        </w:rPr>
        <w:t>.</w:t>
      </w:r>
    </w:p>
    <w:p w:rsidR="00430771" w:rsidRPr="00444094" w:rsidRDefault="00430771" w:rsidP="009650A0">
      <w:pPr>
        <w:pStyle w:val="Default"/>
        <w:jc w:val="both"/>
        <w:rPr>
          <w:sz w:val="16"/>
          <w:szCs w:val="16"/>
        </w:rPr>
      </w:pPr>
    </w:p>
    <w:p w:rsidR="00A63AE5" w:rsidRPr="003A79F1" w:rsidRDefault="00A63AE5" w:rsidP="007506B0">
      <w:pPr>
        <w:rPr>
          <w:color w:val="000000"/>
          <w:szCs w:val="22"/>
        </w:rPr>
      </w:pPr>
    </w:p>
    <w:p w:rsidR="007506B0" w:rsidRPr="00453900" w:rsidRDefault="007506B0" w:rsidP="005C6587">
      <w:pPr>
        <w:pStyle w:val="Titre2"/>
        <w:numPr>
          <w:ilvl w:val="0"/>
          <w:numId w:val="0"/>
        </w:numPr>
        <w:spacing w:before="0" w:after="0"/>
        <w:rPr>
          <w:rFonts w:cs="Arial"/>
          <w:b/>
          <w:sz w:val="22"/>
          <w:szCs w:val="22"/>
        </w:rPr>
      </w:pPr>
      <w:r w:rsidRPr="00453900">
        <w:rPr>
          <w:rFonts w:cs="Arial"/>
          <w:b/>
          <w:sz w:val="22"/>
          <w:szCs w:val="22"/>
        </w:rPr>
        <w:t>Sens de la transaction</w:t>
      </w:r>
    </w:p>
    <w:p w:rsidR="005C6587" w:rsidRPr="00453900" w:rsidRDefault="005C6587" w:rsidP="005C6587">
      <w:pPr>
        <w:rPr>
          <w:szCs w:val="22"/>
        </w:rPr>
      </w:pPr>
    </w:p>
    <w:p w:rsidR="005C6587" w:rsidRPr="00A74928" w:rsidRDefault="002668ED" w:rsidP="002668ED">
      <w:pPr>
        <w:rPr>
          <w:rFonts w:asciiTheme="minorHAnsi" w:hAnsiTheme="minorHAnsi"/>
          <w:szCs w:val="22"/>
        </w:rPr>
      </w:pPr>
      <w:r w:rsidRPr="00A74928">
        <w:rPr>
          <w:rFonts w:asciiTheme="minorHAnsi" w:hAnsiTheme="minorHAnsi"/>
          <w:szCs w:val="22"/>
        </w:rPr>
        <w:t>Le sens d</w:t>
      </w:r>
      <w:r w:rsidR="00DC78A5" w:rsidRPr="00A74928">
        <w:rPr>
          <w:rFonts w:asciiTheme="minorHAnsi" w:hAnsiTheme="minorHAnsi"/>
          <w:szCs w:val="22"/>
        </w:rPr>
        <w:t>e la transaction</w:t>
      </w:r>
      <w:r w:rsidRPr="00A74928">
        <w:rPr>
          <w:rFonts w:asciiTheme="minorHAnsi" w:hAnsiTheme="minorHAnsi"/>
          <w:szCs w:val="22"/>
        </w:rPr>
        <w:t xml:space="preserve"> – </w:t>
      </w:r>
      <w:r w:rsidR="00430BD5" w:rsidRPr="00A74928">
        <w:rPr>
          <w:rFonts w:asciiTheme="minorHAnsi" w:hAnsiTheme="minorHAnsi"/>
          <w:szCs w:val="22"/>
        </w:rPr>
        <w:t>R</w:t>
      </w:r>
      <w:r w:rsidRPr="00A74928">
        <w:rPr>
          <w:rFonts w:asciiTheme="minorHAnsi" w:hAnsiTheme="minorHAnsi"/>
          <w:szCs w:val="22"/>
        </w:rPr>
        <w:t>ec</w:t>
      </w:r>
      <w:r w:rsidR="00DC78A5" w:rsidRPr="00A74928">
        <w:rPr>
          <w:rFonts w:asciiTheme="minorHAnsi" w:hAnsiTheme="minorHAnsi"/>
          <w:szCs w:val="22"/>
        </w:rPr>
        <w:t>et</w:t>
      </w:r>
      <w:r w:rsidR="00430BD5" w:rsidRPr="00A74928">
        <w:rPr>
          <w:rFonts w:asciiTheme="minorHAnsi" w:hAnsiTheme="minorHAnsi"/>
          <w:szCs w:val="22"/>
        </w:rPr>
        <w:t>te (R) ou D</w:t>
      </w:r>
      <w:r w:rsidRPr="00A74928">
        <w:rPr>
          <w:rFonts w:asciiTheme="minorHAnsi" w:hAnsiTheme="minorHAnsi"/>
          <w:szCs w:val="22"/>
        </w:rPr>
        <w:t xml:space="preserve">épense (D) </w:t>
      </w:r>
      <w:r w:rsidR="00DC78A5" w:rsidRPr="00A74928">
        <w:rPr>
          <w:rFonts w:asciiTheme="minorHAnsi" w:hAnsiTheme="minorHAnsi"/>
          <w:szCs w:val="22"/>
        </w:rPr>
        <w:t xml:space="preserve">– doit être </w:t>
      </w:r>
      <w:r w:rsidR="00F63872" w:rsidRPr="00A74928">
        <w:rPr>
          <w:rFonts w:asciiTheme="minorHAnsi" w:hAnsiTheme="minorHAnsi"/>
          <w:szCs w:val="22"/>
        </w:rPr>
        <w:t xml:space="preserve">systématiquement </w:t>
      </w:r>
      <w:r w:rsidR="00DC78A5" w:rsidRPr="00A74928">
        <w:rPr>
          <w:rFonts w:asciiTheme="minorHAnsi" w:hAnsiTheme="minorHAnsi"/>
          <w:szCs w:val="22"/>
        </w:rPr>
        <w:t xml:space="preserve">renseigné </w:t>
      </w:r>
      <w:r w:rsidR="00F63872" w:rsidRPr="00A74928">
        <w:rPr>
          <w:rFonts w:asciiTheme="minorHAnsi" w:hAnsiTheme="minorHAnsi"/>
          <w:szCs w:val="22"/>
        </w:rPr>
        <w:t>pour permettre</w:t>
      </w:r>
      <w:r w:rsidR="00DC78A5" w:rsidRPr="00A74928">
        <w:rPr>
          <w:rFonts w:asciiTheme="minorHAnsi" w:hAnsiTheme="minorHAnsi"/>
          <w:szCs w:val="22"/>
        </w:rPr>
        <w:t xml:space="preserve"> de classer le</w:t>
      </w:r>
      <w:r w:rsidR="00F63872" w:rsidRPr="00A74928">
        <w:rPr>
          <w:rFonts w:asciiTheme="minorHAnsi" w:hAnsiTheme="minorHAnsi"/>
          <w:szCs w:val="22"/>
        </w:rPr>
        <w:t xml:space="preserve">s </w:t>
      </w:r>
      <w:r w:rsidR="00DE7F12" w:rsidRPr="00A74928">
        <w:rPr>
          <w:rFonts w:asciiTheme="minorHAnsi" w:hAnsiTheme="minorHAnsi"/>
          <w:szCs w:val="22"/>
        </w:rPr>
        <w:t>flux</w:t>
      </w:r>
      <w:r w:rsidR="00DC78A5" w:rsidRPr="00A74928">
        <w:rPr>
          <w:rFonts w:asciiTheme="minorHAnsi" w:hAnsiTheme="minorHAnsi"/>
          <w:szCs w:val="22"/>
        </w:rPr>
        <w:t xml:space="preserve"> déclarés</w:t>
      </w:r>
      <w:r w:rsidR="00430BD5" w:rsidRPr="00A74928">
        <w:rPr>
          <w:rFonts w:asciiTheme="minorHAnsi" w:hAnsiTheme="minorHAnsi"/>
          <w:szCs w:val="22"/>
        </w:rPr>
        <w:t xml:space="preserve"> au crédit </w:t>
      </w:r>
      <w:r w:rsidR="00DC78A5" w:rsidRPr="00A74928">
        <w:rPr>
          <w:rFonts w:asciiTheme="minorHAnsi" w:hAnsiTheme="minorHAnsi"/>
          <w:szCs w:val="22"/>
        </w:rPr>
        <w:t xml:space="preserve">ou à l’inverse au débit de la </w:t>
      </w:r>
      <w:r w:rsidR="00F63872" w:rsidRPr="00A74928">
        <w:rPr>
          <w:rFonts w:asciiTheme="minorHAnsi" w:hAnsiTheme="minorHAnsi"/>
          <w:szCs w:val="22"/>
        </w:rPr>
        <w:t>balance</w:t>
      </w:r>
      <w:r w:rsidR="00DC78A5" w:rsidRPr="00A74928">
        <w:rPr>
          <w:rFonts w:asciiTheme="minorHAnsi" w:hAnsiTheme="minorHAnsi"/>
          <w:szCs w:val="22"/>
        </w:rPr>
        <w:t xml:space="preserve"> d</w:t>
      </w:r>
      <w:r w:rsidR="00F63872" w:rsidRPr="00A74928">
        <w:rPr>
          <w:rFonts w:asciiTheme="minorHAnsi" w:hAnsiTheme="minorHAnsi"/>
          <w:szCs w:val="22"/>
        </w:rPr>
        <w:t xml:space="preserve">es paiements (contrairement aux </w:t>
      </w:r>
      <w:r w:rsidR="00430BD5" w:rsidRPr="00A74928">
        <w:rPr>
          <w:rFonts w:asciiTheme="minorHAnsi" w:hAnsiTheme="minorHAnsi"/>
          <w:szCs w:val="22"/>
        </w:rPr>
        <w:t>états</w:t>
      </w:r>
      <w:r w:rsidR="00F63872" w:rsidRPr="00A74928">
        <w:rPr>
          <w:rFonts w:asciiTheme="minorHAnsi" w:hAnsiTheme="minorHAnsi"/>
          <w:szCs w:val="22"/>
        </w:rPr>
        <w:t xml:space="preserve"> EFI et ECO où la nature de chaque position –</w:t>
      </w:r>
      <w:r w:rsidR="00430BD5" w:rsidRPr="00A74928">
        <w:rPr>
          <w:rFonts w:asciiTheme="minorHAnsi" w:hAnsiTheme="minorHAnsi"/>
          <w:szCs w:val="22"/>
        </w:rPr>
        <w:t xml:space="preserve"> créance ou engagement </w:t>
      </w:r>
      <w:r w:rsidR="0099630E" w:rsidRPr="00A74928">
        <w:rPr>
          <w:rFonts w:asciiTheme="minorHAnsi" w:hAnsiTheme="minorHAnsi"/>
          <w:szCs w:val="22"/>
        </w:rPr>
        <w:t>–</w:t>
      </w:r>
      <w:r w:rsidR="00430BD5" w:rsidRPr="00A74928">
        <w:rPr>
          <w:rFonts w:asciiTheme="minorHAnsi" w:hAnsiTheme="minorHAnsi"/>
          <w:szCs w:val="22"/>
        </w:rPr>
        <w:t xml:space="preserve"> </w:t>
      </w:r>
      <w:r w:rsidR="00F63872" w:rsidRPr="00A74928">
        <w:rPr>
          <w:rFonts w:asciiTheme="minorHAnsi" w:hAnsiTheme="minorHAnsi"/>
          <w:szCs w:val="22"/>
        </w:rPr>
        <w:t>est directement in</w:t>
      </w:r>
      <w:r w:rsidR="00430771" w:rsidRPr="00A74928">
        <w:rPr>
          <w:rFonts w:asciiTheme="minorHAnsi" w:hAnsiTheme="minorHAnsi"/>
          <w:szCs w:val="22"/>
        </w:rPr>
        <w:t>scrite</w:t>
      </w:r>
      <w:r w:rsidR="00F63872" w:rsidRPr="00A74928">
        <w:rPr>
          <w:rFonts w:asciiTheme="minorHAnsi" w:hAnsiTheme="minorHAnsi"/>
          <w:szCs w:val="22"/>
        </w:rPr>
        <w:t xml:space="preserve"> dans chaque </w:t>
      </w:r>
      <w:r w:rsidR="00430BD5" w:rsidRPr="00A74928">
        <w:rPr>
          <w:rFonts w:asciiTheme="minorHAnsi" w:hAnsiTheme="minorHAnsi"/>
          <w:szCs w:val="22"/>
        </w:rPr>
        <w:t>volet d</w:t>
      </w:r>
      <w:r w:rsidR="00DE7F12" w:rsidRPr="00A74928">
        <w:rPr>
          <w:rFonts w:asciiTheme="minorHAnsi" w:hAnsiTheme="minorHAnsi"/>
          <w:szCs w:val="22"/>
        </w:rPr>
        <w:t>e la</w:t>
      </w:r>
      <w:r w:rsidR="00F63872" w:rsidRPr="00A74928">
        <w:rPr>
          <w:rFonts w:asciiTheme="minorHAnsi" w:hAnsiTheme="minorHAnsi"/>
          <w:szCs w:val="22"/>
        </w:rPr>
        <w:t xml:space="preserve"> déclaration)</w:t>
      </w:r>
      <w:r w:rsidR="00DC78A5" w:rsidRPr="00A74928">
        <w:rPr>
          <w:rFonts w:asciiTheme="minorHAnsi" w:hAnsiTheme="minorHAnsi"/>
          <w:szCs w:val="22"/>
        </w:rPr>
        <w:t xml:space="preserve">. Ce sens </w:t>
      </w:r>
      <w:r w:rsidR="00430BD5" w:rsidRPr="00A74928">
        <w:rPr>
          <w:rFonts w:asciiTheme="minorHAnsi" w:hAnsiTheme="minorHAnsi"/>
          <w:szCs w:val="22"/>
        </w:rPr>
        <w:t>doit correspondre à l’enregistrement en comptabilité</w:t>
      </w:r>
      <w:r w:rsidR="009650A0" w:rsidRPr="00A74928">
        <w:rPr>
          <w:rFonts w:asciiTheme="minorHAnsi" w:hAnsiTheme="minorHAnsi"/>
          <w:szCs w:val="22"/>
        </w:rPr>
        <w:t xml:space="preserve"> pour le déclarant</w:t>
      </w:r>
      <w:r w:rsidR="00D37786" w:rsidRPr="00A74928">
        <w:rPr>
          <w:rFonts w:asciiTheme="minorHAnsi" w:hAnsiTheme="minorHAnsi"/>
          <w:szCs w:val="22"/>
        </w:rPr>
        <w:t>, selon le</w:t>
      </w:r>
      <w:r w:rsidR="009650A0" w:rsidRPr="00A74928">
        <w:rPr>
          <w:rFonts w:asciiTheme="minorHAnsi" w:hAnsiTheme="minorHAnsi"/>
          <w:szCs w:val="22"/>
        </w:rPr>
        <w:t xml:space="preserve"> cr</w:t>
      </w:r>
      <w:r w:rsidR="00DC78A5" w:rsidRPr="00A74928">
        <w:rPr>
          <w:rFonts w:asciiTheme="minorHAnsi" w:hAnsiTheme="minorHAnsi"/>
          <w:szCs w:val="22"/>
        </w:rPr>
        <w:t>i</w:t>
      </w:r>
      <w:r w:rsidRPr="00A74928">
        <w:rPr>
          <w:rFonts w:asciiTheme="minorHAnsi" w:hAnsiTheme="minorHAnsi"/>
          <w:szCs w:val="22"/>
        </w:rPr>
        <w:t>tère d’</w:t>
      </w:r>
      <w:r w:rsidR="00DC78A5" w:rsidRPr="00A74928">
        <w:rPr>
          <w:rFonts w:asciiTheme="minorHAnsi" w:hAnsiTheme="minorHAnsi"/>
          <w:szCs w:val="22"/>
        </w:rPr>
        <w:t xml:space="preserve">achat ou de vente </w:t>
      </w:r>
      <w:r w:rsidRPr="00A74928">
        <w:rPr>
          <w:rFonts w:asciiTheme="minorHAnsi" w:hAnsiTheme="minorHAnsi"/>
          <w:szCs w:val="22"/>
        </w:rPr>
        <w:t>vis</w:t>
      </w:r>
      <w:r w:rsidR="00900681" w:rsidRPr="00A74928">
        <w:rPr>
          <w:rFonts w:asciiTheme="minorHAnsi" w:hAnsiTheme="minorHAnsi"/>
          <w:szCs w:val="22"/>
        </w:rPr>
        <w:t>-</w:t>
      </w:r>
      <w:r w:rsidR="00F63872" w:rsidRPr="00A74928">
        <w:rPr>
          <w:rFonts w:asciiTheme="minorHAnsi" w:hAnsiTheme="minorHAnsi"/>
          <w:szCs w:val="22"/>
        </w:rPr>
        <w:t>à</w:t>
      </w:r>
      <w:r w:rsidR="00900681" w:rsidRPr="00A74928">
        <w:rPr>
          <w:rFonts w:asciiTheme="minorHAnsi" w:hAnsiTheme="minorHAnsi"/>
          <w:szCs w:val="22"/>
        </w:rPr>
        <w:t>-</w:t>
      </w:r>
      <w:r w:rsidRPr="00A74928">
        <w:rPr>
          <w:rFonts w:asciiTheme="minorHAnsi" w:hAnsiTheme="minorHAnsi"/>
          <w:szCs w:val="22"/>
        </w:rPr>
        <w:t>vis d</w:t>
      </w:r>
      <w:r w:rsidR="00F63872" w:rsidRPr="00A74928">
        <w:rPr>
          <w:rFonts w:asciiTheme="minorHAnsi" w:hAnsiTheme="minorHAnsi"/>
          <w:szCs w:val="22"/>
        </w:rPr>
        <w:t xml:space="preserve">e </w:t>
      </w:r>
      <w:r w:rsidRPr="00A74928">
        <w:rPr>
          <w:rFonts w:asciiTheme="minorHAnsi" w:hAnsiTheme="minorHAnsi"/>
          <w:szCs w:val="22"/>
        </w:rPr>
        <w:t>l’</w:t>
      </w:r>
      <w:r w:rsidR="00F63872" w:rsidRPr="00A74928">
        <w:rPr>
          <w:rFonts w:asciiTheme="minorHAnsi" w:hAnsiTheme="minorHAnsi"/>
          <w:szCs w:val="22"/>
        </w:rPr>
        <w:t>extérieur</w:t>
      </w:r>
      <w:r w:rsidRPr="00A74928">
        <w:rPr>
          <w:rFonts w:asciiTheme="minorHAnsi" w:hAnsiTheme="minorHAnsi"/>
          <w:szCs w:val="22"/>
        </w:rPr>
        <w:t xml:space="preserve"> pour </w:t>
      </w:r>
      <w:r w:rsidR="00DC78A5" w:rsidRPr="00A74928">
        <w:rPr>
          <w:rFonts w:asciiTheme="minorHAnsi" w:hAnsiTheme="minorHAnsi"/>
          <w:szCs w:val="22"/>
        </w:rPr>
        <w:t>les b</w:t>
      </w:r>
      <w:r w:rsidR="00F63872" w:rsidRPr="00A74928">
        <w:rPr>
          <w:rFonts w:asciiTheme="minorHAnsi" w:hAnsiTheme="minorHAnsi"/>
          <w:szCs w:val="22"/>
        </w:rPr>
        <w:t>iens et les services</w:t>
      </w:r>
      <w:r w:rsidR="00DC78A5" w:rsidRPr="00A74928">
        <w:rPr>
          <w:rFonts w:asciiTheme="minorHAnsi" w:hAnsiTheme="minorHAnsi"/>
          <w:szCs w:val="22"/>
        </w:rPr>
        <w:t xml:space="preserve">, de produit </w:t>
      </w:r>
      <w:r w:rsidR="00F63872" w:rsidRPr="00A74928">
        <w:rPr>
          <w:rFonts w:asciiTheme="minorHAnsi" w:hAnsiTheme="minorHAnsi"/>
          <w:szCs w:val="22"/>
        </w:rPr>
        <w:t>ou de charge pour les revenus, ou bien d’emploi ou de ressource pour les investissements directs.</w:t>
      </w:r>
      <w:r w:rsidR="00430BD5" w:rsidRPr="00A74928">
        <w:rPr>
          <w:rFonts w:asciiTheme="minorHAnsi" w:hAnsiTheme="minorHAnsi"/>
          <w:szCs w:val="22"/>
        </w:rPr>
        <w:t xml:space="preserve"> Il peut être</w:t>
      </w:r>
      <w:r w:rsidR="005C6587" w:rsidRPr="00A74928">
        <w:rPr>
          <w:rFonts w:asciiTheme="minorHAnsi" w:hAnsiTheme="minorHAnsi"/>
          <w:szCs w:val="22"/>
        </w:rPr>
        <w:t xml:space="preserve"> déduit des écritures</w:t>
      </w:r>
      <w:r w:rsidR="009650A0" w:rsidRPr="00A74928">
        <w:rPr>
          <w:rFonts w:asciiTheme="minorHAnsi" w:hAnsiTheme="minorHAnsi"/>
          <w:szCs w:val="22"/>
        </w:rPr>
        <w:t xml:space="preserve"> passées </w:t>
      </w:r>
      <w:r w:rsidR="005C6587" w:rsidRPr="00A74928">
        <w:rPr>
          <w:rFonts w:asciiTheme="minorHAnsi" w:hAnsiTheme="minorHAnsi"/>
          <w:szCs w:val="22"/>
        </w:rPr>
        <w:t xml:space="preserve">dans </w:t>
      </w:r>
      <w:r w:rsidR="00F63872" w:rsidRPr="00A74928">
        <w:rPr>
          <w:rFonts w:asciiTheme="minorHAnsi" w:hAnsiTheme="minorHAnsi"/>
          <w:szCs w:val="22"/>
        </w:rPr>
        <w:t xml:space="preserve">les </w:t>
      </w:r>
      <w:r w:rsidR="005C6587" w:rsidRPr="00A74928">
        <w:rPr>
          <w:rFonts w:asciiTheme="minorHAnsi" w:hAnsiTheme="minorHAnsi"/>
          <w:szCs w:val="22"/>
        </w:rPr>
        <w:t xml:space="preserve">livres </w:t>
      </w:r>
      <w:r w:rsidR="00F63872" w:rsidRPr="00A74928">
        <w:rPr>
          <w:rFonts w:asciiTheme="minorHAnsi" w:hAnsiTheme="minorHAnsi"/>
          <w:szCs w:val="22"/>
        </w:rPr>
        <w:t xml:space="preserve">des </w:t>
      </w:r>
      <w:r w:rsidR="009650A0" w:rsidRPr="00A74928">
        <w:rPr>
          <w:rFonts w:asciiTheme="minorHAnsi" w:hAnsiTheme="minorHAnsi"/>
          <w:szCs w:val="22"/>
        </w:rPr>
        <w:t>DDG</w:t>
      </w:r>
      <w:r w:rsidR="00F63872" w:rsidRPr="00A74928">
        <w:rPr>
          <w:rFonts w:asciiTheme="minorHAnsi" w:hAnsiTheme="minorHAnsi"/>
          <w:szCs w:val="22"/>
        </w:rPr>
        <w:t xml:space="preserve"> </w:t>
      </w:r>
      <w:r w:rsidR="005C6587" w:rsidRPr="00A74928">
        <w:rPr>
          <w:rFonts w:asciiTheme="minorHAnsi" w:hAnsiTheme="minorHAnsi"/>
          <w:szCs w:val="22"/>
        </w:rPr>
        <w:t>de la manière suivante :</w:t>
      </w:r>
    </w:p>
    <w:p w:rsidR="005C6587" w:rsidRPr="00453900" w:rsidRDefault="005C6587" w:rsidP="005C6587">
      <w:pPr>
        <w:tabs>
          <w:tab w:val="left" w:pos="4830"/>
        </w:tabs>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453"/>
      </w:tblGrid>
      <w:tr w:rsidR="005C6587" w:rsidRPr="00B6226E" w:rsidTr="00517A91">
        <w:trPr>
          <w:jc w:val="center"/>
        </w:trPr>
        <w:tc>
          <w:tcPr>
            <w:tcW w:w="898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6587" w:rsidRPr="00517A91" w:rsidRDefault="005C6587" w:rsidP="00517A91">
            <w:pPr>
              <w:tabs>
                <w:tab w:val="left" w:pos="4830"/>
              </w:tabs>
              <w:spacing w:before="120" w:after="120"/>
              <w:jc w:val="center"/>
              <w:rPr>
                <w:rFonts w:ascii="Arial" w:hAnsi="Arial" w:cs="Arial"/>
                <w:b/>
                <w:sz w:val="20"/>
              </w:rPr>
            </w:pPr>
            <w:r w:rsidRPr="00517A91">
              <w:rPr>
                <w:rFonts w:ascii="Arial" w:hAnsi="Arial" w:cs="Arial"/>
                <w:b/>
                <w:sz w:val="20"/>
              </w:rPr>
              <w:t>Comptabilité d’une entité résidente</w:t>
            </w:r>
          </w:p>
        </w:tc>
      </w:tr>
      <w:tr w:rsidR="005C6587" w:rsidRPr="00B6226E" w:rsidTr="00517A91">
        <w:trPr>
          <w:jc w:val="center"/>
        </w:trPr>
        <w:tc>
          <w:tcPr>
            <w:tcW w:w="45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6587" w:rsidRPr="00517A91" w:rsidRDefault="005C6587" w:rsidP="00517A91">
            <w:pPr>
              <w:tabs>
                <w:tab w:val="left" w:pos="4830"/>
              </w:tabs>
              <w:spacing w:before="120" w:after="120"/>
              <w:jc w:val="center"/>
              <w:rPr>
                <w:rFonts w:ascii="Arial" w:hAnsi="Arial" w:cs="Arial"/>
                <w:b/>
                <w:sz w:val="18"/>
                <w:szCs w:val="18"/>
              </w:rPr>
            </w:pPr>
            <w:r w:rsidRPr="00517A91">
              <w:rPr>
                <w:rFonts w:ascii="Arial" w:hAnsi="Arial" w:cs="Arial"/>
                <w:b/>
                <w:sz w:val="18"/>
                <w:szCs w:val="18"/>
              </w:rPr>
              <w:t xml:space="preserve">Sens </w:t>
            </w:r>
            <w:r w:rsidR="002668ED" w:rsidRPr="00517A91">
              <w:rPr>
                <w:rFonts w:ascii="Arial" w:hAnsi="Arial" w:cs="Arial"/>
                <w:b/>
                <w:sz w:val="18"/>
                <w:szCs w:val="18"/>
              </w:rPr>
              <w:t>R</w:t>
            </w:r>
            <w:r w:rsidR="00D9423B" w:rsidRPr="00517A91">
              <w:rPr>
                <w:rFonts w:ascii="Arial" w:hAnsi="Arial" w:cs="Arial"/>
                <w:b/>
                <w:sz w:val="18"/>
                <w:szCs w:val="18"/>
              </w:rPr>
              <w:t xml:space="preserve"> = Recette</w:t>
            </w:r>
          </w:p>
        </w:tc>
        <w:tc>
          <w:tcPr>
            <w:tcW w:w="44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6587" w:rsidRPr="00517A91" w:rsidRDefault="005C6587" w:rsidP="00517A91">
            <w:pPr>
              <w:tabs>
                <w:tab w:val="left" w:pos="4830"/>
              </w:tabs>
              <w:spacing w:before="120" w:after="120"/>
              <w:jc w:val="center"/>
              <w:rPr>
                <w:rFonts w:ascii="Arial" w:hAnsi="Arial" w:cs="Arial"/>
                <w:b/>
                <w:sz w:val="18"/>
                <w:szCs w:val="18"/>
              </w:rPr>
            </w:pPr>
            <w:r w:rsidRPr="00517A91">
              <w:rPr>
                <w:rFonts w:ascii="Arial" w:hAnsi="Arial" w:cs="Arial"/>
                <w:b/>
                <w:sz w:val="18"/>
                <w:szCs w:val="18"/>
              </w:rPr>
              <w:t xml:space="preserve">Sens </w:t>
            </w:r>
            <w:r w:rsidR="002668ED" w:rsidRPr="00517A91">
              <w:rPr>
                <w:rFonts w:ascii="Arial" w:hAnsi="Arial" w:cs="Arial"/>
                <w:b/>
                <w:sz w:val="18"/>
                <w:szCs w:val="18"/>
              </w:rPr>
              <w:t>D</w:t>
            </w:r>
            <w:r w:rsidR="00D9423B" w:rsidRPr="00517A91">
              <w:rPr>
                <w:rFonts w:ascii="Arial" w:hAnsi="Arial" w:cs="Arial"/>
                <w:b/>
                <w:sz w:val="18"/>
                <w:szCs w:val="18"/>
              </w:rPr>
              <w:t xml:space="preserve"> = Dépense</w:t>
            </w:r>
          </w:p>
        </w:tc>
      </w:tr>
      <w:tr w:rsidR="005C6587" w:rsidRPr="00B6226E" w:rsidTr="00517A91">
        <w:trPr>
          <w:trHeight w:val="460"/>
          <w:jc w:val="center"/>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587" w:rsidRPr="00517A91" w:rsidRDefault="005C6587" w:rsidP="002668ED">
            <w:pPr>
              <w:tabs>
                <w:tab w:val="left" w:pos="4830"/>
              </w:tabs>
              <w:spacing w:before="120" w:after="120"/>
              <w:jc w:val="center"/>
              <w:rPr>
                <w:rFonts w:ascii="Arial" w:hAnsi="Arial" w:cs="Arial"/>
                <w:b/>
                <w:sz w:val="18"/>
                <w:szCs w:val="18"/>
              </w:rPr>
            </w:pPr>
            <w:r w:rsidRPr="00517A91">
              <w:rPr>
                <w:rFonts w:ascii="Arial" w:hAnsi="Arial" w:cs="Arial"/>
                <w:b/>
                <w:sz w:val="18"/>
                <w:szCs w:val="18"/>
              </w:rPr>
              <w:t>Opérations au crédit pour l</w:t>
            </w:r>
            <w:r w:rsidR="002668ED" w:rsidRPr="00517A91">
              <w:rPr>
                <w:rFonts w:ascii="Arial" w:hAnsi="Arial" w:cs="Arial"/>
                <w:b/>
                <w:sz w:val="18"/>
                <w:szCs w:val="18"/>
              </w:rPr>
              <w:t>a BDP</w:t>
            </w:r>
          </w:p>
        </w:tc>
        <w:tc>
          <w:tcPr>
            <w:tcW w:w="4453" w:type="dxa"/>
            <w:tcBorders>
              <w:top w:val="single" w:sz="4" w:space="0" w:color="auto"/>
              <w:left w:val="single" w:sz="4" w:space="0" w:color="auto"/>
              <w:bottom w:val="single" w:sz="4" w:space="0" w:color="auto"/>
              <w:right w:val="single" w:sz="4" w:space="0" w:color="auto"/>
            </w:tcBorders>
            <w:shd w:val="clear" w:color="auto" w:fill="auto"/>
          </w:tcPr>
          <w:p w:rsidR="005C6587" w:rsidRPr="00517A91" w:rsidRDefault="005C6587" w:rsidP="002668ED">
            <w:pPr>
              <w:tabs>
                <w:tab w:val="left" w:pos="4830"/>
              </w:tabs>
              <w:spacing w:before="120" w:after="120"/>
              <w:jc w:val="center"/>
              <w:rPr>
                <w:rFonts w:ascii="Arial" w:hAnsi="Arial" w:cs="Arial"/>
                <w:b/>
                <w:sz w:val="18"/>
                <w:szCs w:val="18"/>
              </w:rPr>
            </w:pPr>
            <w:r w:rsidRPr="00517A91">
              <w:rPr>
                <w:rFonts w:ascii="Arial" w:hAnsi="Arial" w:cs="Arial"/>
                <w:b/>
                <w:sz w:val="18"/>
                <w:szCs w:val="18"/>
              </w:rPr>
              <w:t>Opérations au débit pour l</w:t>
            </w:r>
            <w:r w:rsidR="002668ED" w:rsidRPr="00517A91">
              <w:rPr>
                <w:rFonts w:ascii="Arial" w:hAnsi="Arial" w:cs="Arial"/>
                <w:b/>
                <w:sz w:val="18"/>
                <w:szCs w:val="18"/>
              </w:rPr>
              <w:t>a BDP</w:t>
            </w:r>
          </w:p>
        </w:tc>
      </w:tr>
      <w:tr w:rsidR="006F492F" w:rsidRPr="00B6226E" w:rsidTr="00517A91">
        <w:trPr>
          <w:trHeight w:val="340"/>
          <w:jc w:val="center"/>
        </w:trPr>
        <w:tc>
          <w:tcPr>
            <w:tcW w:w="4535" w:type="dxa"/>
            <w:tcBorders>
              <w:top w:val="single" w:sz="4" w:space="0" w:color="auto"/>
              <w:left w:val="single" w:sz="4" w:space="0" w:color="auto"/>
              <w:bottom w:val="dotted" w:sz="4" w:space="0" w:color="auto"/>
              <w:right w:val="single" w:sz="4" w:space="0" w:color="auto"/>
            </w:tcBorders>
            <w:shd w:val="clear" w:color="auto" w:fill="auto"/>
          </w:tcPr>
          <w:p w:rsidR="006F492F" w:rsidRPr="00517A91" w:rsidRDefault="006F492F" w:rsidP="00517A91">
            <w:pPr>
              <w:tabs>
                <w:tab w:val="left" w:pos="4830"/>
              </w:tabs>
              <w:spacing w:before="120" w:after="120"/>
              <w:ind w:left="113" w:right="57"/>
              <w:rPr>
                <w:rFonts w:ascii="Arial" w:hAnsi="Arial" w:cs="Arial"/>
                <w:sz w:val="18"/>
                <w:szCs w:val="18"/>
              </w:rPr>
            </w:pPr>
            <w:r w:rsidRPr="00343F97">
              <w:rPr>
                <w:rFonts w:ascii="Arial" w:hAnsi="Arial" w:cs="Arial"/>
                <w:sz w:val="18"/>
                <w:szCs w:val="18"/>
                <w:u w:val="single"/>
              </w:rPr>
              <w:t>Ventes</w:t>
            </w:r>
            <w:r w:rsidRPr="00517A91">
              <w:rPr>
                <w:rFonts w:ascii="Arial" w:hAnsi="Arial" w:cs="Arial"/>
                <w:sz w:val="18"/>
                <w:szCs w:val="18"/>
              </w:rPr>
              <w:t xml:space="preserve"> de marchandises (négoce)</w:t>
            </w:r>
          </w:p>
        </w:tc>
        <w:tc>
          <w:tcPr>
            <w:tcW w:w="4453" w:type="dxa"/>
            <w:tcBorders>
              <w:top w:val="single" w:sz="4" w:space="0" w:color="auto"/>
              <w:left w:val="single" w:sz="4" w:space="0" w:color="auto"/>
              <w:bottom w:val="dotted" w:sz="4" w:space="0" w:color="auto"/>
              <w:right w:val="single" w:sz="4" w:space="0" w:color="auto"/>
            </w:tcBorders>
            <w:shd w:val="clear" w:color="auto" w:fill="auto"/>
          </w:tcPr>
          <w:p w:rsidR="006F492F" w:rsidRPr="00517A91" w:rsidRDefault="006F492F" w:rsidP="00517A91">
            <w:pPr>
              <w:tabs>
                <w:tab w:val="left" w:pos="4830"/>
              </w:tabs>
              <w:spacing w:before="120" w:after="120"/>
              <w:ind w:left="113" w:right="57"/>
              <w:rPr>
                <w:rFonts w:ascii="Arial" w:hAnsi="Arial" w:cs="Arial"/>
                <w:sz w:val="18"/>
                <w:szCs w:val="18"/>
              </w:rPr>
            </w:pPr>
            <w:r w:rsidRPr="00343F97">
              <w:rPr>
                <w:rFonts w:ascii="Arial" w:hAnsi="Arial" w:cs="Arial"/>
                <w:sz w:val="18"/>
                <w:szCs w:val="18"/>
                <w:u w:val="single"/>
              </w:rPr>
              <w:t>Achats</w:t>
            </w:r>
            <w:r w:rsidRPr="00517A91">
              <w:rPr>
                <w:rFonts w:ascii="Arial" w:hAnsi="Arial" w:cs="Arial"/>
                <w:sz w:val="18"/>
                <w:szCs w:val="18"/>
              </w:rPr>
              <w:t xml:space="preserve"> de marchandises (négoce)</w:t>
            </w:r>
          </w:p>
        </w:tc>
      </w:tr>
      <w:tr w:rsidR="005C6587" w:rsidRPr="00B6226E" w:rsidTr="00517A91">
        <w:trPr>
          <w:trHeight w:val="340"/>
          <w:jc w:val="center"/>
        </w:trPr>
        <w:tc>
          <w:tcPr>
            <w:tcW w:w="4535" w:type="dxa"/>
            <w:tcBorders>
              <w:top w:val="single" w:sz="4" w:space="0" w:color="auto"/>
              <w:left w:val="single" w:sz="4" w:space="0" w:color="auto"/>
              <w:bottom w:val="dotted" w:sz="4" w:space="0" w:color="auto"/>
              <w:right w:val="single" w:sz="4" w:space="0" w:color="auto"/>
            </w:tcBorders>
            <w:shd w:val="clear" w:color="auto" w:fill="auto"/>
          </w:tcPr>
          <w:p w:rsidR="005C6587" w:rsidRPr="00517A91" w:rsidRDefault="005C6587" w:rsidP="00517A91">
            <w:pPr>
              <w:tabs>
                <w:tab w:val="left" w:pos="4830"/>
              </w:tabs>
              <w:spacing w:before="120" w:after="60"/>
              <w:ind w:left="113" w:right="57"/>
              <w:rPr>
                <w:rFonts w:ascii="Arial" w:hAnsi="Arial" w:cs="Arial"/>
                <w:sz w:val="18"/>
                <w:szCs w:val="18"/>
              </w:rPr>
            </w:pPr>
            <w:r w:rsidRPr="00343F97">
              <w:rPr>
                <w:rFonts w:ascii="Arial" w:hAnsi="Arial" w:cs="Arial"/>
                <w:sz w:val="18"/>
                <w:szCs w:val="18"/>
                <w:u w:val="single"/>
              </w:rPr>
              <w:t>Ventes</w:t>
            </w:r>
            <w:r w:rsidRPr="00517A91">
              <w:rPr>
                <w:rFonts w:ascii="Arial" w:hAnsi="Arial" w:cs="Arial"/>
                <w:sz w:val="18"/>
                <w:szCs w:val="18"/>
              </w:rPr>
              <w:t xml:space="preserve"> ou prestations de services</w:t>
            </w:r>
          </w:p>
          <w:p w:rsidR="006F492F" w:rsidRPr="00517A91" w:rsidRDefault="006F492F" w:rsidP="00C9045F">
            <w:pPr>
              <w:tabs>
                <w:tab w:val="left" w:pos="4830"/>
              </w:tabs>
              <w:spacing w:before="60" w:after="60"/>
              <w:ind w:left="432" w:right="57" w:hanging="283"/>
              <w:jc w:val="left"/>
              <w:rPr>
                <w:rFonts w:ascii="Arial" w:hAnsi="Arial" w:cs="Arial"/>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Pr="00517A91">
              <w:rPr>
                <w:rFonts w:ascii="Arial" w:hAnsi="Arial" w:cs="Arial"/>
                <w:sz w:val="18"/>
                <w:szCs w:val="18"/>
              </w:rPr>
              <w:t>Production vendue (prestations de services, travaux, études)</w:t>
            </w:r>
          </w:p>
          <w:p w:rsidR="006F492F" w:rsidRPr="00517A91" w:rsidRDefault="006F492F" w:rsidP="002668ED">
            <w:pPr>
              <w:tabs>
                <w:tab w:val="left" w:pos="4830"/>
              </w:tabs>
              <w:spacing w:before="60" w:after="60"/>
              <w:ind w:left="113" w:right="57"/>
              <w:rPr>
                <w:rFonts w:ascii="Arial" w:hAnsi="Arial" w:cs="Arial"/>
                <w:sz w:val="18"/>
                <w:szCs w:val="18"/>
              </w:rPr>
            </w:pPr>
          </w:p>
        </w:tc>
        <w:tc>
          <w:tcPr>
            <w:tcW w:w="4453" w:type="dxa"/>
            <w:tcBorders>
              <w:top w:val="single" w:sz="4" w:space="0" w:color="auto"/>
              <w:left w:val="single" w:sz="4" w:space="0" w:color="auto"/>
              <w:bottom w:val="dotted" w:sz="4" w:space="0" w:color="auto"/>
              <w:right w:val="single" w:sz="4" w:space="0" w:color="auto"/>
            </w:tcBorders>
            <w:shd w:val="clear" w:color="auto" w:fill="auto"/>
          </w:tcPr>
          <w:p w:rsidR="005C6587" w:rsidRPr="00517A91" w:rsidRDefault="005C6587" w:rsidP="00517A91">
            <w:pPr>
              <w:tabs>
                <w:tab w:val="left" w:pos="4830"/>
              </w:tabs>
              <w:spacing w:before="120" w:after="60"/>
              <w:ind w:left="113" w:right="57"/>
              <w:rPr>
                <w:rFonts w:ascii="Arial" w:hAnsi="Arial" w:cs="Arial"/>
                <w:sz w:val="18"/>
                <w:szCs w:val="18"/>
              </w:rPr>
            </w:pPr>
            <w:r w:rsidRPr="00343F97">
              <w:rPr>
                <w:rFonts w:ascii="Arial" w:hAnsi="Arial" w:cs="Arial"/>
                <w:sz w:val="18"/>
                <w:szCs w:val="18"/>
                <w:u w:val="single"/>
              </w:rPr>
              <w:t>Achats</w:t>
            </w:r>
            <w:r w:rsidRPr="00517A91">
              <w:rPr>
                <w:rFonts w:ascii="Arial" w:hAnsi="Arial" w:cs="Arial"/>
                <w:sz w:val="18"/>
                <w:szCs w:val="18"/>
              </w:rPr>
              <w:t xml:space="preserve"> et services consommés</w:t>
            </w:r>
          </w:p>
          <w:p w:rsidR="006F492F" w:rsidRPr="00517A91" w:rsidRDefault="006F492F" w:rsidP="00517A91">
            <w:pPr>
              <w:tabs>
                <w:tab w:val="left" w:pos="4830"/>
              </w:tabs>
              <w:spacing w:before="60" w:after="60"/>
              <w:ind w:left="460" w:right="57" w:hanging="283"/>
              <w:jc w:val="left"/>
              <w:rPr>
                <w:rFonts w:ascii="Arial" w:hAnsi="Arial" w:cs="Arial"/>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Pr="00517A91">
              <w:rPr>
                <w:rFonts w:ascii="Arial" w:hAnsi="Arial" w:cs="Arial"/>
                <w:sz w:val="18"/>
                <w:szCs w:val="18"/>
              </w:rPr>
              <w:t>Autres achats et charges externes (achats d’études et de prestations de services sauf matériels et biens d’équipement)</w:t>
            </w:r>
          </w:p>
          <w:p w:rsidR="006F492F" w:rsidRPr="00517A91" w:rsidRDefault="006F492F" w:rsidP="00517A91">
            <w:pPr>
              <w:tabs>
                <w:tab w:val="left" w:pos="4830"/>
              </w:tabs>
              <w:ind w:left="113" w:right="57"/>
              <w:rPr>
                <w:rFonts w:ascii="Arial" w:hAnsi="Arial" w:cs="Arial"/>
                <w:sz w:val="18"/>
                <w:szCs w:val="18"/>
              </w:rPr>
            </w:pPr>
          </w:p>
        </w:tc>
      </w:tr>
      <w:tr w:rsidR="005C6587" w:rsidRPr="00B6226E" w:rsidTr="00517A91">
        <w:trPr>
          <w:trHeight w:val="340"/>
          <w:jc w:val="center"/>
        </w:trPr>
        <w:tc>
          <w:tcPr>
            <w:tcW w:w="4535" w:type="dxa"/>
            <w:tcBorders>
              <w:top w:val="dotted" w:sz="4" w:space="0" w:color="auto"/>
              <w:left w:val="single" w:sz="4" w:space="0" w:color="auto"/>
              <w:bottom w:val="dotted" w:sz="4" w:space="0" w:color="auto"/>
              <w:right w:val="single" w:sz="4" w:space="0" w:color="auto"/>
            </w:tcBorders>
            <w:shd w:val="clear" w:color="auto" w:fill="auto"/>
          </w:tcPr>
          <w:p w:rsidR="006C608C" w:rsidRPr="00343F97" w:rsidRDefault="006C608C" w:rsidP="00517A91">
            <w:pPr>
              <w:tabs>
                <w:tab w:val="left" w:pos="4830"/>
              </w:tabs>
              <w:spacing w:before="120" w:after="60"/>
              <w:ind w:left="113" w:right="57"/>
              <w:rPr>
                <w:rFonts w:ascii="Arial" w:hAnsi="Arial" w:cs="Arial"/>
                <w:sz w:val="18"/>
                <w:szCs w:val="18"/>
                <w:u w:val="single"/>
              </w:rPr>
            </w:pPr>
            <w:r w:rsidRPr="00343F97">
              <w:rPr>
                <w:rFonts w:ascii="Arial" w:hAnsi="Arial" w:cs="Arial"/>
                <w:sz w:val="18"/>
                <w:szCs w:val="18"/>
                <w:u w:val="single"/>
              </w:rPr>
              <w:t>Autres produits</w:t>
            </w:r>
          </w:p>
          <w:p w:rsidR="00986990" w:rsidRPr="00517A91" w:rsidRDefault="00986990" w:rsidP="00986990">
            <w:pPr>
              <w:tabs>
                <w:tab w:val="left" w:pos="4830"/>
              </w:tabs>
              <w:spacing w:before="60" w:after="60"/>
              <w:ind w:left="113" w:right="57"/>
              <w:rPr>
                <w:rFonts w:ascii="Arial" w:hAnsi="Arial" w:cs="Arial"/>
                <w:sz w:val="18"/>
                <w:szCs w:val="18"/>
              </w:rPr>
            </w:pPr>
            <w:r w:rsidRPr="00517A91">
              <w:rPr>
                <w:rFonts w:ascii="Arial" w:hAnsi="Arial" w:cs="Arial"/>
                <w:sz w:val="18"/>
                <w:szCs w:val="18"/>
              </w:rPr>
              <w:t>Produits financiers</w:t>
            </w:r>
          </w:p>
          <w:p w:rsidR="00986990" w:rsidRPr="00517A91" w:rsidRDefault="00986990" w:rsidP="00986990">
            <w:pPr>
              <w:tabs>
                <w:tab w:val="left" w:pos="4830"/>
              </w:tabs>
              <w:spacing w:before="60" w:after="60"/>
              <w:ind w:left="113" w:right="57"/>
              <w:rPr>
                <w:rFonts w:ascii="Arial" w:hAnsi="Arial" w:cs="Arial"/>
                <w:sz w:val="18"/>
                <w:szCs w:val="18"/>
              </w:rPr>
            </w:pPr>
            <w:r w:rsidRPr="00517A91">
              <w:rPr>
                <w:rFonts w:ascii="Arial" w:hAnsi="Arial" w:cs="Arial"/>
                <w:noProof/>
                <w:sz w:val="18"/>
                <w:szCs w:val="18"/>
              </w:rPr>
              <w:sym w:font="Wingdings" w:char="F0E0"/>
            </w:r>
            <w:r w:rsidRPr="00517A91">
              <w:rPr>
                <w:rFonts w:ascii="Arial" w:hAnsi="Arial" w:cs="Arial"/>
                <w:sz w:val="18"/>
                <w:szCs w:val="18"/>
              </w:rPr>
              <w:t xml:space="preserve"> Revenus des participations (dividendes)</w:t>
            </w:r>
          </w:p>
        </w:tc>
        <w:tc>
          <w:tcPr>
            <w:tcW w:w="4453" w:type="dxa"/>
            <w:tcBorders>
              <w:top w:val="dotted" w:sz="4" w:space="0" w:color="auto"/>
              <w:left w:val="single" w:sz="4" w:space="0" w:color="auto"/>
              <w:bottom w:val="dotted" w:sz="4" w:space="0" w:color="auto"/>
              <w:right w:val="single" w:sz="4" w:space="0" w:color="auto"/>
            </w:tcBorders>
            <w:shd w:val="clear" w:color="auto" w:fill="auto"/>
          </w:tcPr>
          <w:p w:rsidR="005C6587" w:rsidRPr="00343F97" w:rsidRDefault="006F492F" w:rsidP="00517A91">
            <w:pPr>
              <w:tabs>
                <w:tab w:val="left" w:pos="4830"/>
              </w:tabs>
              <w:spacing w:before="120" w:after="60"/>
              <w:ind w:left="113" w:right="57"/>
              <w:rPr>
                <w:rFonts w:ascii="Arial" w:hAnsi="Arial" w:cs="Arial"/>
                <w:sz w:val="18"/>
                <w:szCs w:val="18"/>
                <w:u w:val="single"/>
              </w:rPr>
            </w:pPr>
            <w:r w:rsidRPr="00343F97">
              <w:rPr>
                <w:rFonts w:ascii="Arial" w:hAnsi="Arial" w:cs="Arial"/>
                <w:sz w:val="18"/>
                <w:szCs w:val="18"/>
                <w:u w:val="single"/>
              </w:rPr>
              <w:t>Autres charges</w:t>
            </w:r>
          </w:p>
          <w:p w:rsidR="006F492F" w:rsidRPr="00517A91" w:rsidRDefault="006F492F" w:rsidP="00C9045F">
            <w:pPr>
              <w:tabs>
                <w:tab w:val="left" w:pos="4830"/>
              </w:tabs>
              <w:spacing w:before="60" w:after="60"/>
              <w:ind w:left="460" w:right="57" w:hanging="283"/>
              <w:rPr>
                <w:rFonts w:ascii="Arial" w:hAnsi="Arial" w:cs="Arial"/>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Pr="00517A91">
              <w:rPr>
                <w:rFonts w:ascii="Arial" w:hAnsi="Arial" w:cs="Arial"/>
                <w:sz w:val="18"/>
                <w:szCs w:val="18"/>
              </w:rPr>
              <w:t>Impôts, taxes et charges assimilées</w:t>
            </w:r>
          </w:p>
          <w:p w:rsidR="006F492F" w:rsidRPr="00517A91" w:rsidRDefault="006F492F" w:rsidP="00C9045F">
            <w:pPr>
              <w:tabs>
                <w:tab w:val="left" w:pos="4830"/>
              </w:tabs>
              <w:spacing w:before="60" w:after="60"/>
              <w:ind w:left="460" w:right="57" w:hanging="283"/>
              <w:rPr>
                <w:rFonts w:ascii="Arial" w:hAnsi="Arial" w:cs="Arial"/>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Pr="00517A91">
              <w:rPr>
                <w:rFonts w:ascii="Arial" w:hAnsi="Arial" w:cs="Arial"/>
                <w:sz w:val="18"/>
                <w:szCs w:val="18"/>
              </w:rPr>
              <w:t>Salaires et traitements</w:t>
            </w:r>
          </w:p>
          <w:p w:rsidR="00BA2025" w:rsidRDefault="006F492F" w:rsidP="00C9045F">
            <w:pPr>
              <w:tabs>
                <w:tab w:val="left" w:pos="4830"/>
              </w:tabs>
              <w:spacing w:before="60" w:after="60"/>
              <w:ind w:left="460" w:right="57" w:hanging="283"/>
              <w:rPr>
                <w:rFonts w:ascii="Arial" w:hAnsi="Arial" w:cs="Arial"/>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Pr="00517A91">
              <w:rPr>
                <w:rFonts w:ascii="Arial" w:hAnsi="Arial" w:cs="Arial"/>
                <w:sz w:val="18"/>
                <w:szCs w:val="18"/>
              </w:rPr>
              <w:t>Charges sociales</w:t>
            </w:r>
          </w:p>
          <w:p w:rsidR="00517A91" w:rsidRPr="00517A91" w:rsidRDefault="00517A91" w:rsidP="00517A91">
            <w:pPr>
              <w:tabs>
                <w:tab w:val="left" w:pos="4830"/>
              </w:tabs>
              <w:ind w:left="460" w:right="57" w:hanging="284"/>
              <w:rPr>
                <w:rFonts w:ascii="Arial" w:hAnsi="Arial" w:cs="Arial"/>
                <w:sz w:val="16"/>
                <w:szCs w:val="16"/>
              </w:rPr>
            </w:pPr>
          </w:p>
        </w:tc>
      </w:tr>
      <w:tr w:rsidR="005C6587" w:rsidRPr="00B6226E" w:rsidTr="00517A91">
        <w:trPr>
          <w:trHeight w:val="460"/>
          <w:jc w:val="center"/>
        </w:trPr>
        <w:tc>
          <w:tcPr>
            <w:tcW w:w="4535" w:type="dxa"/>
            <w:tcBorders>
              <w:top w:val="dotted" w:sz="4" w:space="0" w:color="auto"/>
              <w:left w:val="single" w:sz="4" w:space="0" w:color="auto"/>
              <w:bottom w:val="double" w:sz="4" w:space="0" w:color="auto"/>
              <w:right w:val="single" w:sz="4" w:space="0" w:color="auto"/>
            </w:tcBorders>
            <w:shd w:val="clear" w:color="auto" w:fill="auto"/>
          </w:tcPr>
          <w:p w:rsidR="00517A91" w:rsidRDefault="00517A91" w:rsidP="00517A91">
            <w:pPr>
              <w:tabs>
                <w:tab w:val="left" w:pos="4830"/>
              </w:tabs>
              <w:ind w:left="113" w:right="57"/>
              <w:rPr>
                <w:rFonts w:ascii="Arial" w:hAnsi="Arial" w:cs="Arial"/>
                <w:sz w:val="18"/>
                <w:szCs w:val="18"/>
              </w:rPr>
            </w:pPr>
          </w:p>
          <w:p w:rsidR="00430771" w:rsidRPr="00517A91" w:rsidRDefault="00D9423B" w:rsidP="00517A91">
            <w:pPr>
              <w:tabs>
                <w:tab w:val="left" w:pos="4830"/>
              </w:tabs>
              <w:spacing w:before="60" w:after="60"/>
              <w:ind w:left="113" w:right="57"/>
              <w:jc w:val="left"/>
              <w:rPr>
                <w:rFonts w:ascii="Arial" w:hAnsi="Arial" w:cs="Arial"/>
                <w:sz w:val="18"/>
                <w:szCs w:val="18"/>
              </w:rPr>
            </w:pPr>
            <w:r w:rsidRPr="00517A91">
              <w:rPr>
                <w:rFonts w:ascii="Arial" w:hAnsi="Arial" w:cs="Arial"/>
                <w:sz w:val="18"/>
                <w:szCs w:val="18"/>
              </w:rPr>
              <w:t>Diminution de</w:t>
            </w:r>
            <w:r w:rsidR="005C6587" w:rsidRPr="00517A91">
              <w:rPr>
                <w:rFonts w:ascii="Arial" w:hAnsi="Arial" w:cs="Arial"/>
                <w:sz w:val="18"/>
                <w:szCs w:val="18"/>
              </w:rPr>
              <w:t xml:space="preserve"> créances </w:t>
            </w:r>
            <w:r w:rsidR="002668ED" w:rsidRPr="00517A91">
              <w:rPr>
                <w:rFonts w:ascii="Arial" w:hAnsi="Arial" w:cs="Arial"/>
                <w:sz w:val="18"/>
                <w:szCs w:val="18"/>
              </w:rPr>
              <w:t>(</w:t>
            </w:r>
            <w:r w:rsidR="00097C43" w:rsidRPr="00343F97">
              <w:rPr>
                <w:rFonts w:ascii="Arial" w:hAnsi="Arial" w:cs="Arial"/>
                <w:sz w:val="18"/>
                <w:szCs w:val="18"/>
                <w:u w:val="single"/>
              </w:rPr>
              <w:t>cessions</w:t>
            </w:r>
            <w:r w:rsidRPr="00517A91">
              <w:rPr>
                <w:rFonts w:ascii="Arial" w:hAnsi="Arial" w:cs="Arial"/>
                <w:sz w:val="18"/>
                <w:szCs w:val="18"/>
              </w:rPr>
              <w:t xml:space="preserve"> d’</w:t>
            </w:r>
            <w:r w:rsidR="00430771" w:rsidRPr="00517A91">
              <w:rPr>
                <w:rFonts w:ascii="Arial" w:hAnsi="Arial" w:cs="Arial"/>
                <w:sz w:val="18"/>
                <w:szCs w:val="18"/>
              </w:rPr>
              <w:t>i</w:t>
            </w:r>
            <w:r w:rsidRPr="00517A91">
              <w:rPr>
                <w:rFonts w:ascii="Arial" w:hAnsi="Arial" w:cs="Arial"/>
                <w:sz w:val="18"/>
                <w:szCs w:val="18"/>
              </w:rPr>
              <w:t>mmobilisations</w:t>
            </w:r>
            <w:r w:rsidR="002668ED" w:rsidRPr="00517A91">
              <w:rPr>
                <w:rFonts w:ascii="Arial" w:hAnsi="Arial" w:cs="Arial"/>
                <w:sz w:val="18"/>
                <w:szCs w:val="18"/>
              </w:rPr>
              <w:t>)</w:t>
            </w:r>
          </w:p>
          <w:p w:rsidR="002668ED" w:rsidRPr="00517A91" w:rsidRDefault="00D9423B" w:rsidP="00C9045F">
            <w:pPr>
              <w:tabs>
                <w:tab w:val="left" w:pos="4830"/>
              </w:tabs>
              <w:spacing w:before="60" w:after="60"/>
              <w:ind w:left="432" w:right="57" w:hanging="283"/>
              <w:jc w:val="left"/>
              <w:rPr>
                <w:rFonts w:ascii="Arial" w:hAnsi="Arial" w:cs="Arial"/>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Pr="00517A91">
              <w:rPr>
                <w:rFonts w:ascii="Arial" w:hAnsi="Arial" w:cs="Arial"/>
                <w:sz w:val="18"/>
                <w:szCs w:val="18"/>
              </w:rPr>
              <w:t>Actifs incorporels (concessions, brevets, licences, marques) </w:t>
            </w:r>
            <w:r w:rsidR="00097C43" w:rsidRPr="00517A91">
              <w:rPr>
                <w:rFonts w:ascii="Arial" w:hAnsi="Arial" w:cs="Arial"/>
                <w:sz w:val="18"/>
                <w:szCs w:val="18"/>
              </w:rPr>
              <w:t>cédés à des non</w:t>
            </w:r>
            <w:r w:rsidR="00900681">
              <w:rPr>
                <w:rFonts w:ascii="Arial" w:hAnsi="Arial" w:cs="Arial"/>
                <w:sz w:val="18"/>
                <w:szCs w:val="18"/>
              </w:rPr>
              <w:t>-</w:t>
            </w:r>
            <w:r w:rsidR="00097C43" w:rsidRPr="00517A91">
              <w:rPr>
                <w:rFonts w:ascii="Arial" w:hAnsi="Arial" w:cs="Arial"/>
                <w:sz w:val="18"/>
                <w:szCs w:val="18"/>
              </w:rPr>
              <w:t xml:space="preserve">résidents </w:t>
            </w:r>
            <w:r w:rsidRPr="00517A91">
              <w:rPr>
                <w:rFonts w:ascii="Arial" w:hAnsi="Arial" w:cs="Arial"/>
                <w:sz w:val="18"/>
                <w:szCs w:val="18"/>
              </w:rPr>
              <w:t xml:space="preserve">: transfert </w:t>
            </w:r>
            <w:r w:rsidR="00343F97">
              <w:rPr>
                <w:rFonts w:ascii="Arial" w:hAnsi="Arial" w:cs="Arial"/>
                <w:sz w:val="18"/>
                <w:szCs w:val="18"/>
              </w:rPr>
              <w:t>en</w:t>
            </w:r>
            <w:r w:rsidRPr="00517A91">
              <w:rPr>
                <w:rFonts w:ascii="Arial" w:hAnsi="Arial" w:cs="Arial"/>
                <w:sz w:val="18"/>
                <w:szCs w:val="18"/>
              </w:rPr>
              <w:t xml:space="preserve"> capital</w:t>
            </w:r>
          </w:p>
          <w:p w:rsidR="00D9423B" w:rsidRPr="00517A91" w:rsidRDefault="00D9423B" w:rsidP="00C9045F">
            <w:pPr>
              <w:tabs>
                <w:tab w:val="left" w:pos="4830"/>
              </w:tabs>
              <w:spacing w:before="60" w:after="60"/>
              <w:ind w:left="432" w:right="57" w:hanging="283"/>
              <w:jc w:val="left"/>
              <w:rPr>
                <w:rFonts w:ascii="Arial" w:hAnsi="Arial" w:cs="Arial"/>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00097C43" w:rsidRPr="00517A91">
              <w:rPr>
                <w:rFonts w:ascii="Arial" w:hAnsi="Arial" w:cs="Arial"/>
                <w:sz w:val="18"/>
                <w:szCs w:val="18"/>
              </w:rPr>
              <w:t>Constructions, i</w:t>
            </w:r>
            <w:r w:rsidRPr="00517A91">
              <w:rPr>
                <w:rFonts w:ascii="Arial" w:hAnsi="Arial" w:cs="Arial"/>
                <w:sz w:val="18"/>
                <w:szCs w:val="18"/>
              </w:rPr>
              <w:t>nstallations</w:t>
            </w:r>
            <w:r w:rsidR="00097C43" w:rsidRPr="00517A91">
              <w:rPr>
                <w:rFonts w:ascii="Arial" w:hAnsi="Arial" w:cs="Arial"/>
                <w:sz w:val="18"/>
                <w:szCs w:val="18"/>
              </w:rPr>
              <w:t xml:space="preserve">, actifs immobiliers hors territoire : </w:t>
            </w:r>
            <w:r w:rsidR="00097C43" w:rsidRPr="00343F97">
              <w:rPr>
                <w:rFonts w:ascii="Arial" w:hAnsi="Arial" w:cs="Arial"/>
                <w:sz w:val="18"/>
                <w:szCs w:val="18"/>
                <w:u w:val="single"/>
              </w:rPr>
              <w:t>dés</w:t>
            </w:r>
            <w:r w:rsidR="00097C43" w:rsidRPr="00517A91">
              <w:rPr>
                <w:rFonts w:ascii="Arial" w:hAnsi="Arial" w:cs="Arial"/>
                <w:sz w:val="18"/>
                <w:szCs w:val="18"/>
              </w:rPr>
              <w:t>investissement direct</w:t>
            </w:r>
          </w:p>
          <w:p w:rsidR="00D9423B" w:rsidRDefault="00D9423B" w:rsidP="00C9045F">
            <w:pPr>
              <w:tabs>
                <w:tab w:val="left" w:pos="4830"/>
              </w:tabs>
              <w:spacing w:before="60" w:after="60"/>
              <w:ind w:left="432" w:right="57" w:hanging="283"/>
              <w:jc w:val="left"/>
              <w:rPr>
                <w:rFonts w:ascii="Arial" w:hAnsi="Arial" w:cs="Arial"/>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Pr="00517A91">
              <w:rPr>
                <w:rFonts w:ascii="Arial" w:hAnsi="Arial" w:cs="Arial"/>
                <w:sz w:val="18"/>
                <w:szCs w:val="18"/>
              </w:rPr>
              <w:t>Participations</w:t>
            </w:r>
            <w:r w:rsidR="00097C43" w:rsidRPr="00517A91">
              <w:rPr>
                <w:rFonts w:ascii="Arial" w:hAnsi="Arial" w:cs="Arial"/>
                <w:sz w:val="18"/>
                <w:szCs w:val="18"/>
              </w:rPr>
              <w:t xml:space="preserve"> dans </w:t>
            </w:r>
            <w:r w:rsidR="00343F97">
              <w:rPr>
                <w:rFonts w:ascii="Arial" w:hAnsi="Arial" w:cs="Arial"/>
                <w:sz w:val="18"/>
                <w:szCs w:val="18"/>
              </w:rPr>
              <w:t xml:space="preserve">des </w:t>
            </w:r>
            <w:r w:rsidR="00097C43" w:rsidRPr="00517A91">
              <w:rPr>
                <w:rFonts w:ascii="Arial" w:hAnsi="Arial" w:cs="Arial"/>
                <w:sz w:val="18"/>
                <w:szCs w:val="18"/>
              </w:rPr>
              <w:t xml:space="preserve">sociétés étrangères : </w:t>
            </w:r>
            <w:r w:rsidR="00097C43" w:rsidRPr="00343F97">
              <w:rPr>
                <w:rFonts w:ascii="Arial" w:hAnsi="Arial" w:cs="Arial"/>
                <w:sz w:val="18"/>
                <w:szCs w:val="18"/>
                <w:u w:val="single"/>
              </w:rPr>
              <w:t>dés</w:t>
            </w:r>
            <w:r w:rsidR="00097C43" w:rsidRPr="00517A91">
              <w:rPr>
                <w:rFonts w:ascii="Arial" w:hAnsi="Arial" w:cs="Arial"/>
                <w:sz w:val="18"/>
                <w:szCs w:val="18"/>
              </w:rPr>
              <w:t>investissement direct</w:t>
            </w:r>
          </w:p>
          <w:p w:rsidR="00517A91" w:rsidRPr="00517A91" w:rsidRDefault="00517A91" w:rsidP="00517A91">
            <w:pPr>
              <w:tabs>
                <w:tab w:val="left" w:pos="4830"/>
              </w:tabs>
              <w:ind w:left="431" w:right="57" w:hanging="284"/>
              <w:jc w:val="left"/>
              <w:rPr>
                <w:rFonts w:ascii="Arial" w:hAnsi="Arial" w:cs="Arial"/>
                <w:i/>
                <w:sz w:val="16"/>
                <w:szCs w:val="16"/>
              </w:rPr>
            </w:pPr>
          </w:p>
        </w:tc>
        <w:tc>
          <w:tcPr>
            <w:tcW w:w="4453" w:type="dxa"/>
            <w:tcBorders>
              <w:top w:val="dotted" w:sz="4" w:space="0" w:color="auto"/>
              <w:left w:val="single" w:sz="4" w:space="0" w:color="auto"/>
              <w:bottom w:val="double" w:sz="4" w:space="0" w:color="auto"/>
              <w:right w:val="single" w:sz="4" w:space="0" w:color="auto"/>
            </w:tcBorders>
            <w:shd w:val="clear" w:color="auto" w:fill="auto"/>
          </w:tcPr>
          <w:p w:rsidR="00517A91" w:rsidRDefault="00517A91" w:rsidP="00517A91">
            <w:pPr>
              <w:ind w:left="113"/>
              <w:rPr>
                <w:rFonts w:ascii="Arial" w:hAnsi="Arial" w:cs="Arial"/>
                <w:sz w:val="18"/>
                <w:szCs w:val="18"/>
              </w:rPr>
            </w:pPr>
          </w:p>
          <w:p w:rsidR="00430771" w:rsidRPr="00517A91" w:rsidRDefault="005C6587" w:rsidP="00517A91">
            <w:pPr>
              <w:ind w:left="113"/>
              <w:jc w:val="left"/>
              <w:rPr>
                <w:rFonts w:ascii="Arial" w:hAnsi="Arial" w:cs="Arial"/>
                <w:sz w:val="18"/>
                <w:szCs w:val="18"/>
              </w:rPr>
            </w:pPr>
            <w:r w:rsidRPr="00517A91">
              <w:rPr>
                <w:rFonts w:ascii="Arial" w:hAnsi="Arial" w:cs="Arial"/>
                <w:sz w:val="18"/>
                <w:szCs w:val="18"/>
              </w:rPr>
              <w:t xml:space="preserve">Augmentation de créances </w:t>
            </w:r>
            <w:r w:rsidR="002668ED" w:rsidRPr="00517A91">
              <w:rPr>
                <w:rFonts w:ascii="Arial" w:hAnsi="Arial" w:cs="Arial"/>
                <w:sz w:val="18"/>
                <w:szCs w:val="18"/>
              </w:rPr>
              <w:t>(</w:t>
            </w:r>
            <w:r w:rsidR="00097C43" w:rsidRPr="00343F97">
              <w:rPr>
                <w:rFonts w:ascii="Arial" w:hAnsi="Arial" w:cs="Arial"/>
                <w:sz w:val="18"/>
                <w:szCs w:val="18"/>
                <w:u w:val="single"/>
              </w:rPr>
              <w:t>acquisition</w:t>
            </w:r>
            <w:r w:rsidR="00343F97" w:rsidRPr="00343F97">
              <w:rPr>
                <w:rFonts w:ascii="Arial" w:hAnsi="Arial" w:cs="Arial"/>
                <w:sz w:val="18"/>
                <w:szCs w:val="18"/>
                <w:u w:val="single"/>
              </w:rPr>
              <w:t>s</w:t>
            </w:r>
            <w:r w:rsidR="00D9423B" w:rsidRPr="00517A91">
              <w:rPr>
                <w:rFonts w:ascii="Arial" w:hAnsi="Arial" w:cs="Arial"/>
                <w:sz w:val="18"/>
                <w:szCs w:val="18"/>
              </w:rPr>
              <w:t xml:space="preserve"> d’immobilisations</w:t>
            </w:r>
            <w:r w:rsidR="00430771" w:rsidRPr="00517A91">
              <w:rPr>
                <w:rFonts w:ascii="Arial" w:hAnsi="Arial" w:cs="Arial"/>
                <w:sz w:val="18"/>
                <w:szCs w:val="18"/>
              </w:rPr>
              <w:t>)</w:t>
            </w:r>
          </w:p>
          <w:p w:rsidR="00D9423B" w:rsidRPr="00517A91" w:rsidRDefault="00D9423B" w:rsidP="00517A91">
            <w:pPr>
              <w:tabs>
                <w:tab w:val="left" w:pos="4830"/>
              </w:tabs>
              <w:spacing w:before="60" w:after="60"/>
              <w:ind w:left="460" w:right="57" w:hanging="283"/>
              <w:jc w:val="left"/>
              <w:rPr>
                <w:rFonts w:ascii="Arial" w:hAnsi="Arial" w:cs="Arial"/>
                <w:sz w:val="18"/>
                <w:szCs w:val="18"/>
              </w:rPr>
            </w:pPr>
            <w:r w:rsidRPr="00517A91">
              <w:rPr>
                <w:rFonts w:ascii="Arial" w:hAnsi="Arial" w:cs="Arial"/>
                <w:noProof/>
                <w:sz w:val="18"/>
                <w:szCs w:val="18"/>
              </w:rPr>
              <w:sym w:font="Wingdings" w:char="F0E0"/>
            </w:r>
            <w:r w:rsidR="00517A91" w:rsidRPr="00517A91">
              <w:rPr>
                <w:rFonts w:ascii="Arial" w:hAnsi="Arial" w:cs="Arial"/>
                <w:noProof/>
                <w:sz w:val="18"/>
                <w:szCs w:val="18"/>
              </w:rPr>
              <w:t xml:space="preserve"> </w:t>
            </w:r>
            <w:r w:rsidRPr="00517A91">
              <w:rPr>
                <w:rFonts w:ascii="Arial" w:hAnsi="Arial" w:cs="Arial"/>
                <w:sz w:val="18"/>
                <w:szCs w:val="18"/>
              </w:rPr>
              <w:t>Actifs incorporels (concessions, brevets, licences, marques)</w:t>
            </w:r>
            <w:r w:rsidR="00097C43" w:rsidRPr="00517A91">
              <w:rPr>
                <w:rFonts w:ascii="Arial" w:hAnsi="Arial" w:cs="Arial"/>
                <w:sz w:val="18"/>
                <w:szCs w:val="18"/>
              </w:rPr>
              <w:t xml:space="preserve"> acquis auprès de non</w:t>
            </w:r>
            <w:r w:rsidR="00900681">
              <w:rPr>
                <w:rFonts w:ascii="Arial" w:hAnsi="Arial" w:cs="Arial"/>
                <w:sz w:val="18"/>
                <w:szCs w:val="18"/>
              </w:rPr>
              <w:t>-</w:t>
            </w:r>
            <w:r w:rsidR="00097C43" w:rsidRPr="00517A91">
              <w:rPr>
                <w:rFonts w:ascii="Arial" w:hAnsi="Arial" w:cs="Arial"/>
                <w:sz w:val="18"/>
                <w:szCs w:val="18"/>
              </w:rPr>
              <w:t>résidents</w:t>
            </w:r>
            <w:r w:rsidRPr="00517A91">
              <w:rPr>
                <w:rFonts w:ascii="Arial" w:hAnsi="Arial" w:cs="Arial"/>
                <w:sz w:val="18"/>
                <w:szCs w:val="18"/>
              </w:rPr>
              <w:t> : transfert</w:t>
            </w:r>
            <w:r w:rsidR="00097C43" w:rsidRPr="00517A91">
              <w:rPr>
                <w:rFonts w:ascii="Arial" w:hAnsi="Arial" w:cs="Arial"/>
                <w:sz w:val="18"/>
                <w:szCs w:val="18"/>
              </w:rPr>
              <w:t xml:space="preserve"> </w:t>
            </w:r>
            <w:r w:rsidR="00343F97">
              <w:rPr>
                <w:rFonts w:ascii="Arial" w:hAnsi="Arial" w:cs="Arial"/>
                <w:sz w:val="18"/>
                <w:szCs w:val="18"/>
              </w:rPr>
              <w:t>en</w:t>
            </w:r>
            <w:r w:rsidRPr="00517A91">
              <w:rPr>
                <w:rFonts w:ascii="Arial" w:hAnsi="Arial" w:cs="Arial"/>
                <w:sz w:val="18"/>
                <w:szCs w:val="18"/>
              </w:rPr>
              <w:t xml:space="preserve"> capital</w:t>
            </w:r>
          </w:p>
          <w:p w:rsidR="00D9423B" w:rsidRPr="00517A91" w:rsidRDefault="00D9423B" w:rsidP="00517A91">
            <w:pPr>
              <w:tabs>
                <w:tab w:val="left" w:pos="4830"/>
              </w:tabs>
              <w:spacing w:before="60" w:after="60"/>
              <w:ind w:left="460" w:right="57" w:hanging="283"/>
              <w:jc w:val="left"/>
              <w:rPr>
                <w:rFonts w:ascii="Arial" w:hAnsi="Arial" w:cs="Arial"/>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Pr="00517A91">
              <w:rPr>
                <w:rFonts w:ascii="Arial" w:hAnsi="Arial" w:cs="Arial"/>
                <w:sz w:val="18"/>
                <w:szCs w:val="18"/>
              </w:rPr>
              <w:t>Constructions, installations</w:t>
            </w:r>
            <w:r w:rsidR="00097C43" w:rsidRPr="00517A91">
              <w:rPr>
                <w:rFonts w:ascii="Arial" w:hAnsi="Arial" w:cs="Arial"/>
                <w:sz w:val="18"/>
                <w:szCs w:val="18"/>
              </w:rPr>
              <w:t>, actifs immobiliers hors territoire : investissement direct</w:t>
            </w:r>
          </w:p>
          <w:p w:rsidR="00D9423B" w:rsidRPr="00517A91" w:rsidRDefault="00D9423B" w:rsidP="00517A91">
            <w:pPr>
              <w:ind w:left="460" w:hanging="283"/>
              <w:jc w:val="left"/>
              <w:rPr>
                <w:rFonts w:ascii="Arial" w:hAnsi="Arial" w:cs="Arial"/>
                <w:i/>
                <w:sz w:val="18"/>
                <w:szCs w:val="18"/>
              </w:rPr>
            </w:pPr>
            <w:r w:rsidRPr="00517A91">
              <w:rPr>
                <w:rFonts w:ascii="Arial" w:hAnsi="Arial" w:cs="Arial"/>
                <w:noProof/>
                <w:sz w:val="18"/>
                <w:szCs w:val="18"/>
              </w:rPr>
              <w:sym w:font="Wingdings" w:char="F0E0"/>
            </w:r>
            <w:r w:rsidR="00C9045F" w:rsidRPr="00517A91">
              <w:rPr>
                <w:rFonts w:ascii="Arial" w:hAnsi="Arial" w:cs="Arial"/>
                <w:noProof/>
                <w:sz w:val="18"/>
                <w:szCs w:val="18"/>
              </w:rPr>
              <w:t xml:space="preserve"> </w:t>
            </w:r>
            <w:r w:rsidRPr="00517A91">
              <w:rPr>
                <w:rFonts w:ascii="Arial" w:hAnsi="Arial" w:cs="Arial"/>
                <w:sz w:val="18"/>
                <w:szCs w:val="18"/>
              </w:rPr>
              <w:t>Participations</w:t>
            </w:r>
            <w:r w:rsidR="00097C43" w:rsidRPr="00517A91">
              <w:rPr>
                <w:rFonts w:ascii="Arial" w:hAnsi="Arial" w:cs="Arial"/>
                <w:sz w:val="18"/>
                <w:szCs w:val="18"/>
              </w:rPr>
              <w:t xml:space="preserve"> dans </w:t>
            </w:r>
            <w:r w:rsidR="00343F97">
              <w:rPr>
                <w:rFonts w:ascii="Arial" w:hAnsi="Arial" w:cs="Arial"/>
                <w:sz w:val="18"/>
                <w:szCs w:val="18"/>
              </w:rPr>
              <w:t xml:space="preserve">des </w:t>
            </w:r>
            <w:r w:rsidR="00097C43" w:rsidRPr="00517A91">
              <w:rPr>
                <w:rFonts w:ascii="Arial" w:hAnsi="Arial" w:cs="Arial"/>
                <w:sz w:val="18"/>
                <w:szCs w:val="18"/>
              </w:rPr>
              <w:t>sociétés étrangères: investissement direct</w:t>
            </w:r>
          </w:p>
          <w:p w:rsidR="005C6587" w:rsidRPr="00517A91" w:rsidRDefault="005C6587" w:rsidP="00430771">
            <w:pPr>
              <w:rPr>
                <w:rFonts w:ascii="Arial" w:hAnsi="Arial" w:cs="Arial"/>
                <w:i/>
                <w:sz w:val="18"/>
                <w:szCs w:val="18"/>
              </w:rPr>
            </w:pPr>
          </w:p>
        </w:tc>
      </w:tr>
    </w:tbl>
    <w:p w:rsidR="00C167DC" w:rsidRDefault="00C167DC" w:rsidP="00C167DC">
      <w:pPr>
        <w:pStyle w:val="Default"/>
        <w:jc w:val="both"/>
        <w:rPr>
          <w:sz w:val="22"/>
          <w:szCs w:val="22"/>
        </w:rPr>
      </w:pPr>
    </w:p>
    <w:p w:rsidR="006C608C" w:rsidRPr="00A74928" w:rsidRDefault="006C608C" w:rsidP="0099630E">
      <w:pPr>
        <w:pStyle w:val="Default"/>
        <w:spacing w:before="120"/>
        <w:jc w:val="both"/>
        <w:rPr>
          <w:rFonts w:asciiTheme="minorHAnsi" w:hAnsiTheme="minorHAnsi"/>
          <w:sz w:val="22"/>
          <w:szCs w:val="22"/>
        </w:rPr>
      </w:pPr>
      <w:r w:rsidRPr="00A74928">
        <w:rPr>
          <w:rFonts w:asciiTheme="minorHAnsi" w:hAnsiTheme="minorHAnsi"/>
          <w:sz w:val="22"/>
          <w:szCs w:val="22"/>
        </w:rPr>
        <w:t>Les dotations aux amortissements et provisions, de même que les reprises, ne sont pas à prendre en compte</w:t>
      </w:r>
      <w:r w:rsidR="00BA2025" w:rsidRPr="00A74928">
        <w:rPr>
          <w:rFonts w:asciiTheme="minorHAnsi" w:hAnsiTheme="minorHAnsi"/>
          <w:sz w:val="22"/>
          <w:szCs w:val="22"/>
        </w:rPr>
        <w:t xml:space="preserve"> dans le paramétrage des déclarations</w:t>
      </w:r>
      <w:r w:rsidRPr="00A74928">
        <w:rPr>
          <w:rFonts w:asciiTheme="minorHAnsi" w:hAnsiTheme="minorHAnsi"/>
          <w:sz w:val="22"/>
          <w:szCs w:val="22"/>
        </w:rPr>
        <w:t>.</w:t>
      </w:r>
    </w:p>
    <w:p w:rsidR="00517A91" w:rsidRDefault="00517A91" w:rsidP="0099630E">
      <w:pPr>
        <w:pStyle w:val="Default"/>
        <w:spacing w:before="120"/>
        <w:jc w:val="both"/>
        <w:rPr>
          <w:rFonts w:ascii="Arial" w:hAnsi="Arial" w:cs="Arial"/>
          <w:b/>
          <w:sz w:val="22"/>
          <w:szCs w:val="22"/>
        </w:rPr>
      </w:pPr>
    </w:p>
    <w:p w:rsidR="005C6587" w:rsidRPr="00430771" w:rsidRDefault="00A74928" w:rsidP="00C167DC">
      <w:pPr>
        <w:pStyle w:val="Default"/>
        <w:jc w:val="both"/>
        <w:rPr>
          <w:rFonts w:ascii="Arial" w:hAnsi="Arial" w:cs="Arial"/>
          <w:b/>
          <w:sz w:val="22"/>
          <w:szCs w:val="22"/>
        </w:rPr>
      </w:pPr>
      <w:r>
        <w:rPr>
          <w:rFonts w:ascii="Arial" w:hAnsi="Arial" w:cs="Arial"/>
          <w:b/>
          <w:sz w:val="22"/>
          <w:szCs w:val="22"/>
        </w:rPr>
        <w:br w:type="page"/>
      </w:r>
      <w:r w:rsidR="005C6587" w:rsidRPr="00430771">
        <w:rPr>
          <w:rFonts w:ascii="Arial" w:hAnsi="Arial" w:cs="Arial"/>
          <w:b/>
          <w:sz w:val="22"/>
          <w:szCs w:val="22"/>
        </w:rPr>
        <w:lastRenderedPageBreak/>
        <w:t>Montants</w:t>
      </w:r>
    </w:p>
    <w:p w:rsidR="00430771" w:rsidRPr="00453900" w:rsidRDefault="00430771" w:rsidP="00C167DC">
      <w:pPr>
        <w:pStyle w:val="Default"/>
        <w:jc w:val="both"/>
        <w:rPr>
          <w:sz w:val="22"/>
          <w:szCs w:val="22"/>
        </w:rPr>
      </w:pPr>
    </w:p>
    <w:p w:rsidR="00C167DC" w:rsidRPr="00A74928" w:rsidRDefault="005C6587" w:rsidP="00D37786">
      <w:pPr>
        <w:rPr>
          <w:rFonts w:asciiTheme="minorHAnsi" w:hAnsiTheme="minorHAnsi"/>
          <w:color w:val="000000"/>
          <w:szCs w:val="22"/>
        </w:rPr>
      </w:pPr>
      <w:r w:rsidRPr="00A74928">
        <w:rPr>
          <w:rFonts w:asciiTheme="minorHAnsi" w:hAnsiTheme="minorHAnsi"/>
          <w:szCs w:val="22"/>
        </w:rPr>
        <w:t>Les montants doivent être déclarés dans l’unité de la monnaie dans laquelle sont libellées les transactions. Ils ne doivent pas être convertis en euro.</w:t>
      </w:r>
      <w:r w:rsidRPr="00A74928">
        <w:rPr>
          <w:rFonts w:asciiTheme="minorHAnsi" w:hAnsiTheme="minorHAnsi"/>
          <w:color w:val="000000"/>
          <w:szCs w:val="22"/>
        </w:rPr>
        <w:t xml:space="preserve"> Ces montants doivent être positifs, sans décimale et arrondis à l’unité la plus proche.</w:t>
      </w:r>
      <w:r w:rsidR="00D37786" w:rsidRPr="00A74928">
        <w:rPr>
          <w:rFonts w:asciiTheme="minorHAnsi" w:hAnsiTheme="minorHAnsi"/>
          <w:color w:val="000000"/>
          <w:szCs w:val="22"/>
        </w:rPr>
        <w:t xml:space="preserve"> </w:t>
      </w:r>
      <w:r w:rsidR="00C167DC" w:rsidRPr="00A74928">
        <w:rPr>
          <w:rFonts w:asciiTheme="minorHAnsi" w:hAnsiTheme="minorHAnsi"/>
          <w:szCs w:val="22"/>
        </w:rPr>
        <w:t xml:space="preserve">Les opérations sont déclarées </w:t>
      </w:r>
      <w:r w:rsidR="00D37786" w:rsidRPr="00A74928">
        <w:rPr>
          <w:rFonts w:asciiTheme="minorHAnsi" w:hAnsiTheme="minorHAnsi"/>
          <w:szCs w:val="22"/>
        </w:rPr>
        <w:t>hors taxes dues en France. Les impôts dus</w:t>
      </w:r>
      <w:r w:rsidR="00C167DC" w:rsidRPr="00A74928">
        <w:rPr>
          <w:rFonts w:asciiTheme="minorHAnsi" w:hAnsiTheme="minorHAnsi"/>
          <w:szCs w:val="22"/>
        </w:rPr>
        <w:t xml:space="preserve"> à une administration publique étrangère sont déclarables spécifiquement </w:t>
      </w:r>
      <w:r w:rsidR="004F7DC4" w:rsidRPr="00A74928">
        <w:rPr>
          <w:rFonts w:asciiTheme="minorHAnsi" w:hAnsiTheme="minorHAnsi"/>
          <w:szCs w:val="22"/>
        </w:rPr>
        <w:t>dans les rubriques de transferts</w:t>
      </w:r>
      <w:r w:rsidR="00653278" w:rsidRPr="00A74928">
        <w:rPr>
          <w:rStyle w:val="Appelnotedebasdep"/>
          <w:rFonts w:asciiTheme="minorHAnsi" w:hAnsiTheme="minorHAnsi"/>
          <w:szCs w:val="22"/>
        </w:rPr>
        <w:footnoteReference w:id="7"/>
      </w:r>
      <w:r w:rsidR="004F7DC4" w:rsidRPr="00A74928">
        <w:rPr>
          <w:rFonts w:asciiTheme="minorHAnsi" w:hAnsiTheme="minorHAnsi"/>
          <w:szCs w:val="22"/>
        </w:rPr>
        <w:t xml:space="preserve"> </w:t>
      </w:r>
      <w:r w:rsidR="00C167DC" w:rsidRPr="00A74928">
        <w:rPr>
          <w:rFonts w:asciiTheme="minorHAnsi" w:hAnsiTheme="minorHAnsi"/>
          <w:szCs w:val="22"/>
        </w:rPr>
        <w:t>(</w:t>
      </w:r>
      <w:r w:rsidR="0099630E" w:rsidRPr="00A74928">
        <w:rPr>
          <w:rFonts w:asciiTheme="minorHAnsi" w:hAnsiTheme="minorHAnsi"/>
          <w:szCs w:val="22"/>
        </w:rPr>
        <w:t>cf. </w:t>
      </w:r>
      <w:r w:rsidR="00D37786" w:rsidRPr="00A74928">
        <w:rPr>
          <w:rFonts w:asciiTheme="minorHAnsi" w:hAnsiTheme="minorHAnsi"/>
          <w:szCs w:val="22"/>
        </w:rPr>
        <w:t>nomenclature générale des codes de transactions pour la codification prévue</w:t>
      </w:r>
      <w:r w:rsidR="00C167DC" w:rsidRPr="00A74928">
        <w:rPr>
          <w:rFonts w:asciiTheme="minorHAnsi" w:hAnsiTheme="minorHAnsi"/>
          <w:szCs w:val="22"/>
        </w:rPr>
        <w:t>).</w:t>
      </w:r>
    </w:p>
    <w:p w:rsidR="005C6587" w:rsidRDefault="00EA44EB" w:rsidP="005C6587">
      <w:pPr>
        <w:rPr>
          <w:rFonts w:ascii="Arial" w:hAnsi="Arial" w:cs="Arial"/>
          <w:b/>
          <w:szCs w:val="22"/>
        </w:rPr>
      </w:pPr>
      <w:r>
        <w:rPr>
          <w:rFonts w:ascii="Arial" w:hAnsi="Arial" w:cs="Arial"/>
          <w:b/>
          <w:szCs w:val="22"/>
        </w:rPr>
        <w:t>Référence</w:t>
      </w:r>
      <w:r w:rsidR="005C6587" w:rsidRPr="00EA44EB">
        <w:rPr>
          <w:rFonts w:ascii="Arial" w:hAnsi="Arial" w:cs="Arial"/>
          <w:b/>
          <w:szCs w:val="22"/>
        </w:rPr>
        <w:t xml:space="preserve"> interne</w:t>
      </w:r>
    </w:p>
    <w:p w:rsidR="00EA44EB" w:rsidRPr="00EA44EB" w:rsidRDefault="00EA44EB" w:rsidP="005C6587">
      <w:pPr>
        <w:rPr>
          <w:rFonts w:ascii="Arial" w:hAnsi="Arial" w:cs="Arial"/>
          <w:color w:val="000000"/>
          <w:szCs w:val="22"/>
        </w:rPr>
      </w:pPr>
    </w:p>
    <w:p w:rsidR="00C167DC" w:rsidRPr="00A74928" w:rsidRDefault="005C6587" w:rsidP="00C167DC">
      <w:pPr>
        <w:rPr>
          <w:rFonts w:asciiTheme="minorHAnsi" w:hAnsiTheme="minorHAnsi"/>
          <w:szCs w:val="22"/>
        </w:rPr>
      </w:pPr>
      <w:r w:rsidRPr="00A74928">
        <w:rPr>
          <w:rFonts w:asciiTheme="minorHAnsi" w:hAnsiTheme="minorHAnsi"/>
          <w:szCs w:val="22"/>
        </w:rPr>
        <w:t>Une zone facultative est laissée à la disposition du déclarant pour y mentionner, par exemple, les numéros de factures</w:t>
      </w:r>
      <w:r w:rsidR="00EA44EB" w:rsidRPr="00A74928">
        <w:rPr>
          <w:rFonts w:asciiTheme="minorHAnsi" w:hAnsiTheme="minorHAnsi"/>
          <w:szCs w:val="22"/>
        </w:rPr>
        <w:t>,</w:t>
      </w:r>
      <w:r w:rsidRPr="00A74928">
        <w:rPr>
          <w:rFonts w:asciiTheme="minorHAnsi" w:hAnsiTheme="minorHAnsi"/>
          <w:szCs w:val="22"/>
        </w:rPr>
        <w:t xml:space="preserve"> des références comptables</w:t>
      </w:r>
      <w:r w:rsidR="00EA44EB" w:rsidRPr="00A74928">
        <w:rPr>
          <w:rFonts w:asciiTheme="minorHAnsi" w:hAnsiTheme="minorHAnsi"/>
          <w:szCs w:val="22"/>
        </w:rPr>
        <w:t>,</w:t>
      </w:r>
      <w:r w:rsidR="00C167DC" w:rsidRPr="00A74928">
        <w:rPr>
          <w:rFonts w:asciiTheme="minorHAnsi" w:hAnsiTheme="minorHAnsi"/>
          <w:szCs w:val="22"/>
        </w:rPr>
        <w:t xml:space="preserve"> ou toute autre indication facilitant les recherches ultérieures</w:t>
      </w:r>
      <w:r w:rsidR="00EA44EB" w:rsidRPr="00A74928">
        <w:rPr>
          <w:rFonts w:asciiTheme="minorHAnsi" w:hAnsiTheme="minorHAnsi"/>
          <w:szCs w:val="22"/>
        </w:rPr>
        <w:t xml:space="preserve"> pour répondre aux questions de la Banque de France</w:t>
      </w:r>
      <w:r w:rsidR="00C167DC" w:rsidRPr="00A74928">
        <w:rPr>
          <w:rFonts w:asciiTheme="minorHAnsi" w:hAnsiTheme="minorHAnsi"/>
          <w:szCs w:val="22"/>
        </w:rPr>
        <w:t>.</w:t>
      </w:r>
    </w:p>
    <w:p w:rsidR="00C167DC" w:rsidRPr="00A74928" w:rsidRDefault="00C167DC" w:rsidP="00C167DC">
      <w:pPr>
        <w:rPr>
          <w:rFonts w:asciiTheme="minorHAnsi" w:hAnsiTheme="minorHAnsi"/>
          <w:szCs w:val="22"/>
        </w:rPr>
      </w:pPr>
    </w:p>
    <w:p w:rsidR="007506B0" w:rsidRPr="004619BC" w:rsidRDefault="005C6587" w:rsidP="007506B0">
      <w:pPr>
        <w:pStyle w:val="Titre3"/>
        <w:numPr>
          <w:ilvl w:val="0"/>
          <w:numId w:val="0"/>
        </w:numPr>
        <w:spacing w:before="120" w:after="0"/>
        <w:rPr>
          <w:rFonts w:cs="Arial"/>
          <w:sz w:val="22"/>
          <w:szCs w:val="22"/>
        </w:rPr>
      </w:pPr>
      <w:r w:rsidRPr="004619BC">
        <w:rPr>
          <w:rFonts w:cs="Arial"/>
          <w:sz w:val="22"/>
          <w:szCs w:val="22"/>
        </w:rPr>
        <w:t>P</w:t>
      </w:r>
      <w:r w:rsidR="007506B0" w:rsidRPr="004619BC">
        <w:rPr>
          <w:rFonts w:cs="Arial"/>
          <w:sz w:val="22"/>
          <w:szCs w:val="22"/>
        </w:rPr>
        <w:t>ériodicité mensuelle</w:t>
      </w:r>
    </w:p>
    <w:p w:rsidR="00EA44EB" w:rsidRPr="00A74928" w:rsidRDefault="005733E6" w:rsidP="00D37786">
      <w:pPr>
        <w:pStyle w:val="Retraitcorpsdetexte2"/>
        <w:ind w:left="0"/>
        <w:rPr>
          <w:rFonts w:asciiTheme="minorHAnsi" w:hAnsiTheme="minorHAnsi"/>
          <w:b w:val="0"/>
          <w:bCs/>
          <w:szCs w:val="22"/>
        </w:rPr>
      </w:pPr>
      <w:r w:rsidRPr="00A74928">
        <w:rPr>
          <w:rFonts w:asciiTheme="minorHAnsi" w:hAnsiTheme="minorHAnsi"/>
          <w:b w:val="0"/>
          <w:bCs/>
          <w:szCs w:val="22"/>
        </w:rPr>
        <w:t xml:space="preserve">Le délai de remise </w:t>
      </w:r>
      <w:r w:rsidR="00435514" w:rsidRPr="00A74928">
        <w:rPr>
          <w:rFonts w:asciiTheme="minorHAnsi" w:hAnsiTheme="minorHAnsi"/>
          <w:b w:val="0"/>
          <w:bCs/>
          <w:szCs w:val="22"/>
        </w:rPr>
        <w:t>es</w:t>
      </w:r>
      <w:r w:rsidRPr="00A74928">
        <w:rPr>
          <w:rFonts w:asciiTheme="minorHAnsi" w:hAnsiTheme="minorHAnsi"/>
          <w:b w:val="0"/>
          <w:bCs/>
          <w:szCs w:val="22"/>
        </w:rPr>
        <w:t xml:space="preserve">t de 30 jours calendaires après la fin du mois de référence. </w:t>
      </w:r>
      <w:r w:rsidR="00D37786" w:rsidRPr="00A74928">
        <w:rPr>
          <w:rFonts w:asciiTheme="minorHAnsi" w:hAnsiTheme="minorHAnsi"/>
          <w:b w:val="0"/>
          <w:bCs/>
          <w:szCs w:val="22"/>
        </w:rPr>
        <w:t>Ainsi la déclaration relative au mois de décembre 201</w:t>
      </w:r>
      <w:r w:rsidR="00350FCF" w:rsidRPr="00A74928">
        <w:rPr>
          <w:rFonts w:asciiTheme="minorHAnsi" w:hAnsiTheme="minorHAnsi"/>
          <w:b w:val="0"/>
          <w:bCs/>
          <w:szCs w:val="22"/>
        </w:rPr>
        <w:t>4</w:t>
      </w:r>
      <w:r w:rsidR="00D37786" w:rsidRPr="00A74928">
        <w:rPr>
          <w:rFonts w:asciiTheme="minorHAnsi" w:hAnsiTheme="minorHAnsi"/>
          <w:b w:val="0"/>
          <w:bCs/>
          <w:szCs w:val="22"/>
        </w:rPr>
        <w:t>, regroupant toutes les transactions observées au cours de ce mois, doit être transmise pour le 31 janvier 201</w:t>
      </w:r>
      <w:r w:rsidR="00350FCF" w:rsidRPr="00A74928">
        <w:rPr>
          <w:rFonts w:asciiTheme="minorHAnsi" w:hAnsiTheme="minorHAnsi"/>
          <w:b w:val="0"/>
          <w:bCs/>
          <w:szCs w:val="22"/>
        </w:rPr>
        <w:t>5</w:t>
      </w:r>
      <w:r w:rsidR="00D37786" w:rsidRPr="00A74928">
        <w:rPr>
          <w:rFonts w:asciiTheme="minorHAnsi" w:hAnsiTheme="minorHAnsi"/>
          <w:b w:val="0"/>
          <w:bCs/>
          <w:szCs w:val="22"/>
        </w:rPr>
        <w:t xml:space="preserve"> au plus tard.</w:t>
      </w:r>
    </w:p>
    <w:p w:rsidR="005733E6" w:rsidRPr="00A74928" w:rsidRDefault="00435514" w:rsidP="00D37786">
      <w:pPr>
        <w:pStyle w:val="Retraitcorpsdetexte2"/>
        <w:ind w:left="0"/>
        <w:rPr>
          <w:rFonts w:asciiTheme="minorHAnsi" w:hAnsiTheme="minorHAnsi"/>
          <w:b w:val="0"/>
          <w:bCs/>
          <w:szCs w:val="22"/>
        </w:rPr>
      </w:pPr>
      <w:r w:rsidRPr="00A74928">
        <w:rPr>
          <w:rFonts w:asciiTheme="minorHAnsi" w:hAnsiTheme="minorHAnsi"/>
          <w:b w:val="0"/>
          <w:bCs/>
          <w:szCs w:val="22"/>
        </w:rPr>
        <w:t>C</w:t>
      </w:r>
      <w:r w:rsidR="00EA44EB" w:rsidRPr="00A74928">
        <w:rPr>
          <w:rFonts w:asciiTheme="minorHAnsi" w:hAnsiTheme="minorHAnsi"/>
          <w:b w:val="0"/>
          <w:bCs/>
          <w:szCs w:val="22"/>
        </w:rPr>
        <w:t xml:space="preserve">e </w:t>
      </w:r>
      <w:r w:rsidRPr="00A74928">
        <w:rPr>
          <w:rFonts w:asciiTheme="minorHAnsi" w:hAnsiTheme="minorHAnsi"/>
          <w:b w:val="0"/>
          <w:bCs/>
          <w:szCs w:val="22"/>
        </w:rPr>
        <w:t>délai</w:t>
      </w:r>
      <w:r w:rsidR="00EA44EB" w:rsidRPr="00A74928">
        <w:rPr>
          <w:rFonts w:asciiTheme="minorHAnsi" w:hAnsiTheme="minorHAnsi"/>
          <w:b w:val="0"/>
          <w:bCs/>
          <w:szCs w:val="22"/>
        </w:rPr>
        <w:t xml:space="preserve"> </w:t>
      </w:r>
      <w:r w:rsidRPr="00A74928">
        <w:rPr>
          <w:rFonts w:asciiTheme="minorHAnsi" w:hAnsiTheme="minorHAnsi"/>
          <w:b w:val="0"/>
          <w:bCs/>
          <w:szCs w:val="22"/>
        </w:rPr>
        <w:t xml:space="preserve">est tributaire des obligations de production mensuelle de la balance des paiements, dans le cadre européen en particulier. L’échéance des 30 jours étant passée, une déclaration ne peut plus être prise en compte pour les arrêtés </w:t>
      </w:r>
      <w:r w:rsidR="00DE7F12" w:rsidRPr="00A74928">
        <w:rPr>
          <w:rFonts w:asciiTheme="minorHAnsi" w:hAnsiTheme="minorHAnsi"/>
          <w:b w:val="0"/>
          <w:bCs/>
          <w:szCs w:val="22"/>
        </w:rPr>
        <w:t xml:space="preserve">mensuels </w:t>
      </w:r>
      <w:r w:rsidRPr="00A74928">
        <w:rPr>
          <w:rFonts w:asciiTheme="minorHAnsi" w:hAnsiTheme="minorHAnsi"/>
          <w:b w:val="0"/>
          <w:bCs/>
          <w:szCs w:val="22"/>
        </w:rPr>
        <w:t xml:space="preserve">réguliers prévus par la Banque de </w:t>
      </w:r>
      <w:r w:rsidR="00DE7F12" w:rsidRPr="00A74928">
        <w:rPr>
          <w:rFonts w:asciiTheme="minorHAnsi" w:hAnsiTheme="minorHAnsi"/>
          <w:b w:val="0"/>
          <w:bCs/>
          <w:szCs w:val="22"/>
        </w:rPr>
        <w:t>France et son traitement</w:t>
      </w:r>
      <w:r w:rsidRPr="00A74928">
        <w:rPr>
          <w:rFonts w:asciiTheme="minorHAnsi" w:hAnsiTheme="minorHAnsi"/>
          <w:b w:val="0"/>
          <w:bCs/>
          <w:szCs w:val="22"/>
        </w:rPr>
        <w:t xml:space="preserve"> doit être reporté sur les échéances trimestrielles suivantes.</w:t>
      </w:r>
      <w:r w:rsidR="002A710D" w:rsidRPr="00A74928">
        <w:rPr>
          <w:rFonts w:asciiTheme="minorHAnsi" w:hAnsiTheme="minorHAnsi"/>
          <w:b w:val="0"/>
          <w:bCs/>
          <w:szCs w:val="22"/>
        </w:rPr>
        <w:t xml:space="preserve"> L’attention des déclarants est donc appelée sur le strict respect du calendrier.</w:t>
      </w:r>
    </w:p>
    <w:p w:rsidR="005733E6" w:rsidRDefault="005733E6" w:rsidP="005733E6">
      <w:pPr>
        <w:pStyle w:val="Default"/>
        <w:jc w:val="both"/>
        <w:rPr>
          <w:sz w:val="22"/>
          <w:szCs w:val="22"/>
        </w:rPr>
      </w:pPr>
    </w:p>
    <w:p w:rsidR="00517A91" w:rsidRPr="00453900" w:rsidRDefault="00517A91" w:rsidP="005733E6">
      <w:pPr>
        <w:pStyle w:val="Default"/>
        <w:jc w:val="both"/>
        <w:rPr>
          <w:sz w:val="22"/>
          <w:szCs w:val="22"/>
        </w:rPr>
      </w:pPr>
    </w:p>
    <w:p w:rsidR="007506B0" w:rsidRPr="004619BC" w:rsidRDefault="00C15C1D" w:rsidP="001D68E8">
      <w:pPr>
        <w:pStyle w:val="Titre2"/>
        <w:numPr>
          <w:ilvl w:val="0"/>
          <w:numId w:val="16"/>
        </w:numPr>
        <w:shd w:val="clear" w:color="auto" w:fill="DBE5F1" w:themeFill="accent1" w:themeFillTint="33"/>
        <w:spacing w:before="0" w:after="0"/>
        <w:ind w:left="0" w:firstLine="0"/>
        <w:rPr>
          <w:rFonts w:cs="Arial"/>
          <w:b/>
          <w:caps/>
          <w:sz w:val="28"/>
          <w:szCs w:val="28"/>
        </w:rPr>
      </w:pPr>
      <w:r w:rsidRPr="004619BC">
        <w:rPr>
          <w:rFonts w:cs="Arial"/>
          <w:b/>
          <w:caps/>
          <w:sz w:val="28"/>
          <w:szCs w:val="28"/>
        </w:rPr>
        <w:t>Précision</w:t>
      </w:r>
      <w:r w:rsidR="001F7D24" w:rsidRPr="004619BC">
        <w:rPr>
          <w:rFonts w:cs="Arial"/>
          <w:b/>
          <w:caps/>
          <w:sz w:val="28"/>
          <w:szCs w:val="28"/>
        </w:rPr>
        <w:t>s</w:t>
      </w:r>
      <w:r w:rsidRPr="004619BC">
        <w:rPr>
          <w:rFonts w:cs="Arial"/>
          <w:b/>
          <w:caps/>
          <w:sz w:val="28"/>
          <w:szCs w:val="28"/>
        </w:rPr>
        <w:t xml:space="preserve"> relative</w:t>
      </w:r>
      <w:r w:rsidR="001F7D24" w:rsidRPr="004619BC">
        <w:rPr>
          <w:rFonts w:cs="Arial"/>
          <w:b/>
          <w:caps/>
          <w:sz w:val="28"/>
          <w:szCs w:val="28"/>
        </w:rPr>
        <w:t>s</w:t>
      </w:r>
      <w:r w:rsidR="007506B0" w:rsidRPr="004619BC">
        <w:rPr>
          <w:rFonts w:cs="Arial"/>
          <w:b/>
          <w:caps/>
          <w:sz w:val="28"/>
          <w:szCs w:val="28"/>
        </w:rPr>
        <w:t xml:space="preserve"> aux investissements directs</w:t>
      </w:r>
      <w:r w:rsidR="007506B0" w:rsidRPr="004619BC">
        <w:rPr>
          <w:b/>
          <w:bCs/>
          <w:caps/>
          <w:sz w:val="28"/>
          <w:szCs w:val="28"/>
        </w:rPr>
        <w:t xml:space="preserve"> </w:t>
      </w:r>
    </w:p>
    <w:p w:rsidR="007506B0" w:rsidRPr="00453900" w:rsidRDefault="007506B0" w:rsidP="007506B0">
      <w:pPr>
        <w:rPr>
          <w:szCs w:val="22"/>
        </w:rPr>
      </w:pPr>
    </w:p>
    <w:p w:rsidR="007506B0" w:rsidRPr="00A74928" w:rsidRDefault="007506B0" w:rsidP="006163D8">
      <w:pPr>
        <w:autoSpaceDE w:val="0"/>
        <w:autoSpaceDN w:val="0"/>
        <w:adjustRightInd w:val="0"/>
        <w:spacing w:before="120"/>
        <w:rPr>
          <w:rFonts w:asciiTheme="minorHAnsi" w:hAnsiTheme="minorHAnsi"/>
          <w:szCs w:val="22"/>
        </w:rPr>
      </w:pPr>
      <w:r w:rsidRPr="00A74928">
        <w:rPr>
          <w:rFonts w:asciiTheme="minorHAnsi" w:hAnsiTheme="minorHAnsi"/>
          <w:szCs w:val="22"/>
        </w:rPr>
        <w:t>Les opérations d'investissement direct</w:t>
      </w:r>
      <w:r w:rsidR="002A710D" w:rsidRPr="00A74928">
        <w:rPr>
          <w:rFonts w:asciiTheme="minorHAnsi" w:hAnsiTheme="minorHAnsi"/>
          <w:szCs w:val="22"/>
        </w:rPr>
        <w:t xml:space="preserve"> doivent donner</w:t>
      </w:r>
      <w:r w:rsidRPr="00A74928">
        <w:rPr>
          <w:rFonts w:asciiTheme="minorHAnsi" w:hAnsiTheme="minorHAnsi"/>
          <w:szCs w:val="22"/>
        </w:rPr>
        <w:t xml:space="preserve"> lieu, comme toute autre transaction avec l'étranger</w:t>
      </w:r>
      <w:r w:rsidR="00B2402B" w:rsidRPr="00A74928">
        <w:rPr>
          <w:rFonts w:asciiTheme="minorHAnsi" w:hAnsiTheme="minorHAnsi"/>
          <w:szCs w:val="22"/>
        </w:rPr>
        <w:t xml:space="preserve"> relevant du champ du RTE</w:t>
      </w:r>
      <w:r w:rsidRPr="00A74928">
        <w:rPr>
          <w:rFonts w:asciiTheme="minorHAnsi" w:hAnsiTheme="minorHAnsi"/>
          <w:szCs w:val="22"/>
        </w:rPr>
        <w:t xml:space="preserve">, à l'établissement d'un </w:t>
      </w:r>
      <w:r w:rsidR="00A63912" w:rsidRPr="00A74928">
        <w:rPr>
          <w:rFonts w:asciiTheme="minorHAnsi" w:hAnsiTheme="minorHAnsi"/>
          <w:szCs w:val="22"/>
        </w:rPr>
        <w:t>relevé mensuel</w:t>
      </w:r>
      <w:r w:rsidRPr="00A74928">
        <w:rPr>
          <w:rFonts w:asciiTheme="minorHAnsi" w:hAnsiTheme="minorHAnsi"/>
          <w:szCs w:val="22"/>
        </w:rPr>
        <w:t xml:space="preserve"> codifié selon la nature économique de l'opération pour les investissements français à l'étranger ou les investissements étrangers en France.</w:t>
      </w:r>
      <w:r w:rsidR="00510691" w:rsidRPr="00A74928">
        <w:rPr>
          <w:rFonts w:asciiTheme="minorHAnsi" w:hAnsiTheme="minorHAnsi"/>
          <w:szCs w:val="22"/>
        </w:rPr>
        <w:t xml:space="preserve"> </w:t>
      </w:r>
      <w:r w:rsidRPr="00A74928">
        <w:rPr>
          <w:rFonts w:asciiTheme="minorHAnsi" w:hAnsiTheme="minorHAnsi"/>
          <w:szCs w:val="22"/>
        </w:rPr>
        <w:t xml:space="preserve">Sont considérées </w:t>
      </w:r>
      <w:r w:rsidR="002A710D" w:rsidRPr="00A74928">
        <w:rPr>
          <w:rFonts w:asciiTheme="minorHAnsi" w:hAnsiTheme="minorHAnsi"/>
          <w:szCs w:val="22"/>
        </w:rPr>
        <w:t xml:space="preserve">notamment </w:t>
      </w:r>
      <w:r w:rsidRPr="00A74928">
        <w:rPr>
          <w:rFonts w:asciiTheme="minorHAnsi" w:hAnsiTheme="minorHAnsi"/>
          <w:szCs w:val="22"/>
        </w:rPr>
        <w:t xml:space="preserve">comme investissements directs les transactions </w:t>
      </w:r>
      <w:r w:rsidR="002A710D" w:rsidRPr="00A74928">
        <w:rPr>
          <w:rFonts w:asciiTheme="minorHAnsi" w:hAnsiTheme="minorHAnsi"/>
          <w:szCs w:val="22"/>
        </w:rPr>
        <w:t>sur titres</w:t>
      </w:r>
      <w:r w:rsidRPr="00A74928">
        <w:rPr>
          <w:rFonts w:asciiTheme="minorHAnsi" w:hAnsiTheme="minorHAnsi"/>
          <w:szCs w:val="22"/>
        </w:rPr>
        <w:t xml:space="preserve"> (émission, acquisition ou cession) </w:t>
      </w:r>
      <w:r w:rsidR="001927B6" w:rsidRPr="00A74928">
        <w:rPr>
          <w:rFonts w:asciiTheme="minorHAnsi" w:hAnsiTheme="minorHAnsi"/>
          <w:szCs w:val="22"/>
        </w:rPr>
        <w:t>quand</w:t>
      </w:r>
      <w:r w:rsidRPr="00A74928">
        <w:rPr>
          <w:rFonts w:asciiTheme="minorHAnsi" w:hAnsiTheme="minorHAnsi"/>
          <w:szCs w:val="22"/>
        </w:rPr>
        <w:t xml:space="preserve"> le déclarant atteint ou dépasse 10 % de participation dans le capital </w:t>
      </w:r>
      <w:r w:rsidR="00B92BC1" w:rsidRPr="00A74928">
        <w:rPr>
          <w:rFonts w:asciiTheme="minorHAnsi" w:hAnsiTheme="minorHAnsi"/>
          <w:szCs w:val="22"/>
        </w:rPr>
        <w:t xml:space="preserve">social </w:t>
      </w:r>
      <w:r w:rsidRPr="00A74928">
        <w:rPr>
          <w:rFonts w:asciiTheme="minorHAnsi" w:hAnsiTheme="minorHAnsi"/>
          <w:szCs w:val="22"/>
        </w:rPr>
        <w:t>d'une société non résidente</w:t>
      </w:r>
      <w:r w:rsidR="001927B6" w:rsidRPr="00A74928">
        <w:rPr>
          <w:rFonts w:asciiTheme="minorHAnsi" w:hAnsiTheme="minorHAnsi"/>
          <w:szCs w:val="22"/>
        </w:rPr>
        <w:t xml:space="preserve"> (ou 10</w:t>
      </w:r>
      <w:r w:rsidR="00900681" w:rsidRPr="00A74928">
        <w:rPr>
          <w:rFonts w:asciiTheme="minorHAnsi" w:hAnsiTheme="minorHAnsi"/>
          <w:szCs w:val="22"/>
        </w:rPr>
        <w:t xml:space="preserve"> </w:t>
      </w:r>
      <w:r w:rsidR="001927B6" w:rsidRPr="00A74928">
        <w:rPr>
          <w:rFonts w:asciiTheme="minorHAnsi" w:hAnsiTheme="minorHAnsi"/>
          <w:szCs w:val="22"/>
        </w:rPr>
        <w:t>% des droits de vote)</w:t>
      </w:r>
      <w:r w:rsidRPr="00A74928">
        <w:rPr>
          <w:rFonts w:asciiTheme="minorHAnsi" w:hAnsiTheme="minorHAnsi"/>
          <w:szCs w:val="22"/>
        </w:rPr>
        <w:t>.</w:t>
      </w:r>
      <w:r w:rsidR="002A710D" w:rsidRPr="00A74928">
        <w:rPr>
          <w:rFonts w:asciiTheme="minorHAnsi" w:hAnsiTheme="minorHAnsi"/>
          <w:szCs w:val="22"/>
        </w:rPr>
        <w:t xml:space="preserve"> Un code particulier est réservé aux investissements immobiliers</w:t>
      </w:r>
      <w:r w:rsidR="001927B6" w:rsidRPr="00A74928">
        <w:rPr>
          <w:rFonts w:asciiTheme="minorHAnsi" w:hAnsiTheme="minorHAnsi"/>
          <w:szCs w:val="22"/>
        </w:rPr>
        <w:t xml:space="preserve">, </w:t>
      </w:r>
      <w:r w:rsidR="00B2402B" w:rsidRPr="00A74928">
        <w:rPr>
          <w:rFonts w:asciiTheme="minorHAnsi" w:hAnsiTheme="minorHAnsi"/>
          <w:szCs w:val="22"/>
        </w:rPr>
        <w:t>qui sont également déclarables.</w:t>
      </w:r>
    </w:p>
    <w:p w:rsidR="00B92BC1" w:rsidRPr="00A74928" w:rsidRDefault="00B92BC1" w:rsidP="007506B0">
      <w:pPr>
        <w:autoSpaceDE w:val="0"/>
        <w:autoSpaceDN w:val="0"/>
        <w:adjustRightInd w:val="0"/>
        <w:rPr>
          <w:rFonts w:asciiTheme="minorHAnsi" w:hAnsiTheme="minorHAnsi"/>
          <w:szCs w:val="22"/>
        </w:rPr>
      </w:pPr>
    </w:p>
    <w:p w:rsidR="005E69FA" w:rsidRPr="00A74928" w:rsidRDefault="007506B0" w:rsidP="00510691">
      <w:pPr>
        <w:rPr>
          <w:rFonts w:asciiTheme="minorHAnsi" w:hAnsiTheme="minorHAnsi"/>
          <w:szCs w:val="22"/>
        </w:rPr>
      </w:pPr>
      <w:r w:rsidRPr="00A74928">
        <w:rPr>
          <w:rFonts w:asciiTheme="minorHAnsi" w:hAnsiTheme="minorHAnsi"/>
          <w:szCs w:val="22"/>
        </w:rPr>
        <w:t>Conformément à la réglementation actuelle</w:t>
      </w:r>
      <w:r w:rsidR="00B2402B" w:rsidRPr="00A74928">
        <w:rPr>
          <w:rFonts w:asciiTheme="minorHAnsi" w:hAnsiTheme="minorHAnsi"/>
          <w:szCs w:val="22"/>
        </w:rPr>
        <w:t xml:space="preserve">, les </w:t>
      </w:r>
      <w:r w:rsidR="005E69FA" w:rsidRPr="00A74928">
        <w:rPr>
          <w:rFonts w:asciiTheme="minorHAnsi" w:hAnsiTheme="minorHAnsi"/>
          <w:szCs w:val="22"/>
        </w:rPr>
        <w:t>déclarants</w:t>
      </w:r>
      <w:r w:rsidR="00B2402B" w:rsidRPr="00A74928">
        <w:rPr>
          <w:rFonts w:asciiTheme="minorHAnsi" w:hAnsiTheme="minorHAnsi"/>
          <w:szCs w:val="22"/>
        </w:rPr>
        <w:t xml:space="preserve"> doiv</w:t>
      </w:r>
      <w:r w:rsidR="005E69FA" w:rsidRPr="00A74928">
        <w:rPr>
          <w:rFonts w:asciiTheme="minorHAnsi" w:hAnsiTheme="minorHAnsi"/>
          <w:szCs w:val="22"/>
        </w:rPr>
        <w:t>ent joindre au RTE pour chaque investissement</w:t>
      </w:r>
      <w:r w:rsidR="00B2402B" w:rsidRPr="00A74928">
        <w:rPr>
          <w:rFonts w:asciiTheme="minorHAnsi" w:hAnsiTheme="minorHAnsi"/>
          <w:szCs w:val="22"/>
        </w:rPr>
        <w:t xml:space="preserve"> </w:t>
      </w:r>
      <w:r w:rsidR="005E69FA" w:rsidRPr="00A74928">
        <w:rPr>
          <w:rFonts w:asciiTheme="minorHAnsi" w:hAnsiTheme="minorHAnsi"/>
          <w:szCs w:val="22"/>
        </w:rPr>
        <w:t xml:space="preserve">réalisé </w:t>
      </w:r>
      <w:r w:rsidR="005B129A" w:rsidRPr="00A74928">
        <w:rPr>
          <w:rFonts w:asciiTheme="minorHAnsi" w:hAnsiTheme="minorHAnsi"/>
          <w:szCs w:val="22"/>
        </w:rPr>
        <w:t xml:space="preserve">(supérieur à 15 millions d’euros) </w:t>
      </w:r>
      <w:r w:rsidR="005E69FA" w:rsidRPr="00A74928">
        <w:rPr>
          <w:rFonts w:asciiTheme="minorHAnsi" w:hAnsiTheme="minorHAnsi"/>
          <w:szCs w:val="22"/>
        </w:rPr>
        <w:t>un</w:t>
      </w:r>
      <w:r w:rsidR="00B2402B" w:rsidRPr="00A74928">
        <w:rPr>
          <w:rFonts w:asciiTheme="minorHAnsi" w:hAnsiTheme="minorHAnsi"/>
          <w:szCs w:val="22"/>
        </w:rPr>
        <w:t xml:space="preserve">e fiche de </w:t>
      </w:r>
      <w:r w:rsidR="005E69FA" w:rsidRPr="00A74928">
        <w:rPr>
          <w:rFonts w:asciiTheme="minorHAnsi" w:hAnsiTheme="minorHAnsi"/>
          <w:szCs w:val="22"/>
        </w:rPr>
        <w:t>renseignements</w:t>
      </w:r>
      <w:r w:rsidR="00B2402B" w:rsidRPr="00A74928">
        <w:rPr>
          <w:rFonts w:asciiTheme="minorHAnsi" w:hAnsiTheme="minorHAnsi"/>
          <w:szCs w:val="22"/>
        </w:rPr>
        <w:t xml:space="preserve"> c</w:t>
      </w:r>
      <w:r w:rsidR="005E69FA" w:rsidRPr="00A74928">
        <w:rPr>
          <w:rFonts w:asciiTheme="minorHAnsi" w:hAnsiTheme="minorHAnsi"/>
          <w:szCs w:val="22"/>
        </w:rPr>
        <w:t>ontenant des informations d</w:t>
      </w:r>
      <w:r w:rsidR="00B2402B" w:rsidRPr="00A74928">
        <w:rPr>
          <w:rFonts w:asciiTheme="minorHAnsi" w:hAnsiTheme="minorHAnsi"/>
          <w:szCs w:val="22"/>
        </w:rPr>
        <w:t>escriptives sur le</w:t>
      </w:r>
      <w:r w:rsidR="005E69FA" w:rsidRPr="00A74928">
        <w:rPr>
          <w:rFonts w:asciiTheme="minorHAnsi" w:hAnsiTheme="minorHAnsi"/>
          <w:szCs w:val="22"/>
        </w:rPr>
        <w:t>s</w:t>
      </w:r>
      <w:r w:rsidR="00B2402B" w:rsidRPr="00A74928">
        <w:rPr>
          <w:rFonts w:asciiTheme="minorHAnsi" w:hAnsiTheme="minorHAnsi"/>
          <w:szCs w:val="22"/>
        </w:rPr>
        <w:t xml:space="preserve"> </w:t>
      </w:r>
      <w:r w:rsidR="005E69FA" w:rsidRPr="00A74928">
        <w:rPr>
          <w:rFonts w:asciiTheme="minorHAnsi" w:hAnsiTheme="minorHAnsi"/>
          <w:szCs w:val="22"/>
        </w:rPr>
        <w:t>modalités</w:t>
      </w:r>
      <w:r w:rsidR="00B2402B" w:rsidRPr="00A74928">
        <w:rPr>
          <w:rFonts w:asciiTheme="minorHAnsi" w:hAnsiTheme="minorHAnsi"/>
          <w:szCs w:val="22"/>
        </w:rPr>
        <w:t xml:space="preserve"> de l’</w:t>
      </w:r>
      <w:r w:rsidR="005E69FA" w:rsidRPr="00A74928">
        <w:rPr>
          <w:rFonts w:asciiTheme="minorHAnsi" w:hAnsiTheme="minorHAnsi"/>
          <w:szCs w:val="22"/>
        </w:rPr>
        <w:t>opération</w:t>
      </w:r>
      <w:r w:rsidR="00B2402B" w:rsidRPr="00A74928">
        <w:rPr>
          <w:rFonts w:asciiTheme="minorHAnsi" w:hAnsiTheme="minorHAnsi"/>
          <w:szCs w:val="22"/>
        </w:rPr>
        <w:t xml:space="preserve"> et sur l’e</w:t>
      </w:r>
      <w:r w:rsidR="005E69FA" w:rsidRPr="00A74928">
        <w:rPr>
          <w:rFonts w:asciiTheme="minorHAnsi" w:hAnsiTheme="minorHAnsi"/>
          <w:szCs w:val="22"/>
        </w:rPr>
        <w:t xml:space="preserve">ntreprise </w:t>
      </w:r>
      <w:r w:rsidR="00B2402B" w:rsidRPr="00A74928">
        <w:rPr>
          <w:rFonts w:asciiTheme="minorHAnsi" w:hAnsiTheme="minorHAnsi"/>
          <w:szCs w:val="22"/>
        </w:rPr>
        <w:t>con</w:t>
      </w:r>
      <w:r w:rsidR="005E69FA" w:rsidRPr="00A74928">
        <w:rPr>
          <w:rFonts w:asciiTheme="minorHAnsi" w:hAnsiTheme="minorHAnsi"/>
          <w:szCs w:val="22"/>
        </w:rPr>
        <w:t xml:space="preserve">trepartie (« investisseuse » </w:t>
      </w:r>
      <w:r w:rsidR="00BA66F7" w:rsidRPr="00A74928">
        <w:rPr>
          <w:rFonts w:asciiTheme="minorHAnsi" w:hAnsiTheme="minorHAnsi"/>
          <w:szCs w:val="22"/>
        </w:rPr>
        <w:t xml:space="preserve">en France </w:t>
      </w:r>
      <w:r w:rsidR="005E69FA" w:rsidRPr="00A74928">
        <w:rPr>
          <w:rFonts w:asciiTheme="minorHAnsi" w:hAnsiTheme="minorHAnsi"/>
          <w:szCs w:val="22"/>
        </w:rPr>
        <w:t>ou « investie »</w:t>
      </w:r>
      <w:r w:rsidR="00BA66F7" w:rsidRPr="00A74928">
        <w:rPr>
          <w:rFonts w:asciiTheme="minorHAnsi" w:hAnsiTheme="minorHAnsi"/>
          <w:szCs w:val="22"/>
        </w:rPr>
        <w:t xml:space="preserve"> à l’étranger</w:t>
      </w:r>
      <w:r w:rsidR="005E69FA" w:rsidRPr="00A74928">
        <w:rPr>
          <w:rFonts w:asciiTheme="minorHAnsi" w:hAnsiTheme="minorHAnsi"/>
          <w:szCs w:val="22"/>
        </w:rPr>
        <w:t>)</w:t>
      </w:r>
      <w:r w:rsidR="00B2402B" w:rsidRPr="00A74928">
        <w:rPr>
          <w:rFonts w:asciiTheme="minorHAnsi" w:hAnsiTheme="minorHAnsi"/>
          <w:szCs w:val="22"/>
        </w:rPr>
        <w:t xml:space="preserve">. Ce </w:t>
      </w:r>
      <w:r w:rsidR="005E69FA" w:rsidRPr="00A74928">
        <w:rPr>
          <w:rFonts w:asciiTheme="minorHAnsi" w:hAnsiTheme="minorHAnsi"/>
          <w:szCs w:val="22"/>
        </w:rPr>
        <w:t xml:space="preserve">document doit être communiqué au Service des Déclarants Directs Généraux dans un délai de 20 jours </w:t>
      </w:r>
      <w:r w:rsidR="005B129A" w:rsidRPr="00A74928">
        <w:rPr>
          <w:rFonts w:asciiTheme="minorHAnsi" w:hAnsiTheme="minorHAnsi"/>
          <w:szCs w:val="22"/>
        </w:rPr>
        <w:t>ouvr</w:t>
      </w:r>
      <w:r w:rsidR="00A93C54" w:rsidRPr="00A74928">
        <w:rPr>
          <w:rFonts w:asciiTheme="minorHAnsi" w:hAnsiTheme="minorHAnsi"/>
          <w:szCs w:val="22"/>
        </w:rPr>
        <w:t>ables</w:t>
      </w:r>
      <w:r w:rsidR="005B129A" w:rsidRPr="00A74928">
        <w:rPr>
          <w:rFonts w:asciiTheme="minorHAnsi" w:hAnsiTheme="minorHAnsi"/>
          <w:szCs w:val="22"/>
        </w:rPr>
        <w:t xml:space="preserve"> </w:t>
      </w:r>
      <w:r w:rsidR="005E69FA" w:rsidRPr="00A74928">
        <w:rPr>
          <w:rFonts w:asciiTheme="minorHAnsi" w:hAnsiTheme="minorHAnsi"/>
          <w:szCs w:val="22"/>
        </w:rPr>
        <w:t>après la fin du mois auquel l’opération est rattachée</w:t>
      </w:r>
      <w:r w:rsidR="00A93C54" w:rsidRPr="00A74928">
        <w:rPr>
          <w:rStyle w:val="Appelnotedebasdep"/>
          <w:rFonts w:asciiTheme="minorHAnsi" w:hAnsiTheme="minorHAnsi"/>
          <w:szCs w:val="22"/>
        </w:rPr>
        <w:footnoteReference w:id="8"/>
      </w:r>
      <w:r w:rsidR="005E69FA" w:rsidRPr="00A74928">
        <w:rPr>
          <w:rFonts w:asciiTheme="minorHAnsi" w:hAnsiTheme="minorHAnsi"/>
          <w:szCs w:val="22"/>
        </w:rPr>
        <w:t>. Il n’est pas automatisé et peut être remis par courrier ou par messagerie</w:t>
      </w:r>
      <w:r w:rsidR="00FE21E2" w:rsidRPr="00A74928">
        <w:rPr>
          <w:rFonts w:asciiTheme="minorHAnsi" w:hAnsiTheme="minorHAnsi"/>
          <w:szCs w:val="22"/>
        </w:rPr>
        <w:t xml:space="preserve"> (cf. adresse en fin de notice)</w:t>
      </w:r>
      <w:r w:rsidR="005E69FA" w:rsidRPr="00A74928">
        <w:rPr>
          <w:rFonts w:asciiTheme="minorHAnsi" w:hAnsiTheme="minorHAnsi"/>
          <w:szCs w:val="22"/>
        </w:rPr>
        <w:t xml:space="preserve">. </w:t>
      </w:r>
      <w:r w:rsidR="00510691" w:rsidRPr="00A74928">
        <w:rPr>
          <w:rFonts w:asciiTheme="minorHAnsi" w:hAnsiTheme="minorHAnsi"/>
          <w:szCs w:val="22"/>
        </w:rPr>
        <w:t>Il s’agit d</w:t>
      </w:r>
      <w:r w:rsidR="005E69FA" w:rsidRPr="00A74928">
        <w:rPr>
          <w:rFonts w:asciiTheme="minorHAnsi" w:hAnsiTheme="minorHAnsi"/>
          <w:szCs w:val="22"/>
        </w:rPr>
        <w:t xml:space="preserve">’un </w:t>
      </w:r>
      <w:r w:rsidR="00FE21E2" w:rsidRPr="00A74928">
        <w:rPr>
          <w:rFonts w:asciiTheme="minorHAnsi" w:hAnsiTheme="minorHAnsi"/>
          <w:szCs w:val="22"/>
        </w:rPr>
        <w:t>formulaire</w:t>
      </w:r>
      <w:r w:rsidR="005E69FA" w:rsidRPr="00A74928">
        <w:rPr>
          <w:rFonts w:asciiTheme="minorHAnsi" w:hAnsiTheme="minorHAnsi"/>
          <w:szCs w:val="22"/>
        </w:rPr>
        <w:t xml:space="preserve"> qui se décline en quatre versions</w:t>
      </w:r>
      <w:r w:rsidR="00FE21E2" w:rsidRPr="00A74928">
        <w:rPr>
          <w:rFonts w:asciiTheme="minorHAnsi" w:hAnsiTheme="minorHAnsi"/>
          <w:szCs w:val="22"/>
        </w:rPr>
        <w:t xml:space="preserve"> </w:t>
      </w:r>
      <w:r w:rsidR="00BA66F7" w:rsidRPr="00A74928">
        <w:rPr>
          <w:rFonts w:asciiTheme="minorHAnsi" w:hAnsiTheme="minorHAnsi"/>
          <w:szCs w:val="22"/>
        </w:rPr>
        <w:t>(une pour chaque cas de déclaration)</w:t>
      </w:r>
      <w:r w:rsidR="005E69FA" w:rsidRPr="00A74928">
        <w:rPr>
          <w:rFonts w:asciiTheme="minorHAnsi" w:hAnsiTheme="minorHAnsi"/>
          <w:szCs w:val="22"/>
        </w:rPr>
        <w:t> :</w:t>
      </w:r>
    </w:p>
    <w:p w:rsidR="00510691" w:rsidRPr="00A74928" w:rsidRDefault="00510691" w:rsidP="00510691">
      <w:pPr>
        <w:rPr>
          <w:rFonts w:asciiTheme="minorHAnsi" w:hAnsiTheme="minorHAnsi"/>
          <w:sz w:val="16"/>
          <w:szCs w:val="16"/>
        </w:rPr>
      </w:pPr>
      <w:r w:rsidRPr="00A74928">
        <w:rPr>
          <w:rFonts w:asciiTheme="minorHAnsi" w:hAnsiTheme="minorHAnsi"/>
          <w:szCs w:val="22"/>
        </w:rPr>
        <w:t xml:space="preserve"> </w:t>
      </w:r>
    </w:p>
    <w:p w:rsidR="00510691" w:rsidRPr="00A74928" w:rsidRDefault="005B129A" w:rsidP="00517A91">
      <w:pPr>
        <w:pStyle w:val="Paragraphedeliste"/>
        <w:numPr>
          <w:ilvl w:val="0"/>
          <w:numId w:val="25"/>
        </w:numPr>
        <w:ind w:left="714" w:hanging="357"/>
        <w:contextualSpacing w:val="0"/>
        <w:rPr>
          <w:rFonts w:asciiTheme="minorHAnsi" w:hAnsiTheme="minorHAnsi"/>
          <w:szCs w:val="22"/>
        </w:rPr>
      </w:pPr>
      <w:r w:rsidRPr="00A74928">
        <w:rPr>
          <w:rFonts w:asciiTheme="minorHAnsi" w:hAnsiTheme="minorHAnsi"/>
          <w:szCs w:val="22"/>
        </w:rPr>
        <w:t xml:space="preserve">2 fiches pour les </w:t>
      </w:r>
      <w:r w:rsidR="0099630E" w:rsidRPr="00A74928">
        <w:rPr>
          <w:rFonts w:asciiTheme="minorHAnsi" w:hAnsiTheme="minorHAnsi"/>
          <w:szCs w:val="22"/>
        </w:rPr>
        <w:t>opération</w:t>
      </w:r>
      <w:r w:rsidRPr="00A74928">
        <w:rPr>
          <w:rFonts w:asciiTheme="minorHAnsi" w:hAnsiTheme="minorHAnsi"/>
          <w:szCs w:val="22"/>
        </w:rPr>
        <w:t>s</w:t>
      </w:r>
      <w:r w:rsidR="00510691" w:rsidRPr="00A74928">
        <w:rPr>
          <w:rFonts w:asciiTheme="minorHAnsi" w:hAnsiTheme="minorHAnsi"/>
          <w:szCs w:val="22"/>
        </w:rPr>
        <w:t xml:space="preserve"> portant sur les investissements/désinvestissements français à l’étranger</w:t>
      </w:r>
      <w:r w:rsidR="00DE0283" w:rsidRPr="00A74928">
        <w:rPr>
          <w:rFonts w:asciiTheme="minorHAnsi" w:hAnsiTheme="minorHAnsi"/>
          <w:szCs w:val="22"/>
        </w:rPr>
        <w:t xml:space="preserve"> (A1</w:t>
      </w:r>
      <w:r w:rsidR="00A63077" w:rsidRPr="00A74928">
        <w:rPr>
          <w:rFonts w:asciiTheme="minorHAnsi" w:hAnsiTheme="minorHAnsi"/>
          <w:szCs w:val="22"/>
        </w:rPr>
        <w:t xml:space="preserve"> </w:t>
      </w:r>
      <w:r w:rsidR="00DE0283" w:rsidRPr="00A74928">
        <w:rPr>
          <w:rFonts w:asciiTheme="minorHAnsi" w:hAnsiTheme="minorHAnsi"/>
          <w:szCs w:val="22"/>
        </w:rPr>
        <w:t>et A2)</w:t>
      </w:r>
      <w:r w:rsidRPr="00A74928">
        <w:rPr>
          <w:rFonts w:asciiTheme="minorHAnsi" w:hAnsiTheme="minorHAnsi"/>
          <w:szCs w:val="22"/>
        </w:rPr>
        <w:t>,</w:t>
      </w:r>
    </w:p>
    <w:p w:rsidR="007506B0" w:rsidRPr="00A74928" w:rsidRDefault="005B129A" w:rsidP="00517A91">
      <w:pPr>
        <w:pStyle w:val="Paragraphedeliste"/>
        <w:numPr>
          <w:ilvl w:val="0"/>
          <w:numId w:val="25"/>
        </w:numPr>
        <w:spacing w:before="120"/>
        <w:ind w:left="714" w:hanging="357"/>
        <w:contextualSpacing w:val="0"/>
        <w:rPr>
          <w:rFonts w:asciiTheme="minorHAnsi" w:hAnsiTheme="minorHAnsi"/>
          <w:szCs w:val="22"/>
        </w:rPr>
      </w:pPr>
      <w:r w:rsidRPr="00A74928">
        <w:rPr>
          <w:rFonts w:asciiTheme="minorHAnsi" w:hAnsiTheme="minorHAnsi"/>
          <w:szCs w:val="22"/>
        </w:rPr>
        <w:lastRenderedPageBreak/>
        <w:t xml:space="preserve">2 fiches </w:t>
      </w:r>
      <w:r w:rsidR="00510691" w:rsidRPr="00A74928">
        <w:rPr>
          <w:rFonts w:asciiTheme="minorHAnsi" w:hAnsiTheme="minorHAnsi"/>
          <w:szCs w:val="22"/>
        </w:rPr>
        <w:t xml:space="preserve">pour les </w:t>
      </w:r>
      <w:r w:rsidR="0099630E" w:rsidRPr="00A74928">
        <w:rPr>
          <w:rFonts w:asciiTheme="minorHAnsi" w:hAnsiTheme="minorHAnsi"/>
          <w:szCs w:val="22"/>
        </w:rPr>
        <w:t>opération</w:t>
      </w:r>
      <w:r w:rsidRPr="00A74928">
        <w:rPr>
          <w:rFonts w:asciiTheme="minorHAnsi" w:hAnsiTheme="minorHAnsi"/>
          <w:szCs w:val="22"/>
        </w:rPr>
        <w:t>s</w:t>
      </w:r>
      <w:r w:rsidR="00510691" w:rsidRPr="00A74928">
        <w:rPr>
          <w:rFonts w:asciiTheme="minorHAnsi" w:hAnsiTheme="minorHAnsi"/>
          <w:szCs w:val="22"/>
        </w:rPr>
        <w:t xml:space="preserve"> portant sur les investissements/désinvestissements étrangers en </w:t>
      </w:r>
      <w:r w:rsidR="00DE0283" w:rsidRPr="00A74928">
        <w:rPr>
          <w:rFonts w:asciiTheme="minorHAnsi" w:hAnsiTheme="minorHAnsi"/>
          <w:szCs w:val="22"/>
        </w:rPr>
        <w:t>France (B1 et B2).</w:t>
      </w:r>
    </w:p>
    <w:p w:rsidR="00DE0283" w:rsidRPr="00DE0283" w:rsidRDefault="00DE0283" w:rsidP="00DE0283">
      <w:pPr>
        <w:pStyle w:val="Paragraphedeliste"/>
        <w:rPr>
          <w:szCs w:val="22"/>
        </w:rPr>
      </w:pPr>
    </w:p>
    <w:p w:rsidR="0040457A" w:rsidRPr="00A74928" w:rsidRDefault="007506B0" w:rsidP="0040457A">
      <w:pPr>
        <w:rPr>
          <w:rFonts w:asciiTheme="minorHAnsi" w:hAnsiTheme="minorHAnsi"/>
          <w:szCs w:val="22"/>
        </w:rPr>
      </w:pPr>
      <w:r w:rsidRPr="00A74928">
        <w:rPr>
          <w:rFonts w:asciiTheme="minorHAnsi" w:hAnsiTheme="minorHAnsi"/>
          <w:szCs w:val="22"/>
        </w:rPr>
        <w:t xml:space="preserve">Ces </w:t>
      </w:r>
      <w:r w:rsidR="005B129A" w:rsidRPr="00A74928">
        <w:rPr>
          <w:rFonts w:asciiTheme="minorHAnsi" w:hAnsiTheme="minorHAnsi"/>
          <w:szCs w:val="22"/>
        </w:rPr>
        <w:t>comptes rendus s</w:t>
      </w:r>
      <w:r w:rsidR="0040457A" w:rsidRPr="00A74928">
        <w:rPr>
          <w:rFonts w:asciiTheme="minorHAnsi" w:hAnsiTheme="minorHAnsi"/>
          <w:szCs w:val="22"/>
        </w:rPr>
        <w:t xml:space="preserve">ont disponibles sur le site internet de la Banque de France </w:t>
      </w:r>
      <w:r w:rsidR="00036294" w:rsidRPr="00A74928">
        <w:rPr>
          <w:rFonts w:asciiTheme="minorHAnsi" w:hAnsiTheme="minorHAnsi"/>
          <w:szCs w:val="22"/>
        </w:rPr>
        <w:t xml:space="preserve">sous l’« Espace déclarants/ DDG » après cette notice méthodologique </w:t>
      </w:r>
      <w:r w:rsidR="0040457A" w:rsidRPr="00A74928">
        <w:rPr>
          <w:rFonts w:asciiTheme="minorHAnsi" w:hAnsiTheme="minorHAnsi"/>
          <w:szCs w:val="22"/>
        </w:rPr>
        <w:t>à l’adresse ci-dessous :</w:t>
      </w:r>
    </w:p>
    <w:p w:rsidR="002A710D" w:rsidRPr="00281FF0" w:rsidRDefault="002A710D" w:rsidP="0040457A">
      <w:pPr>
        <w:autoSpaceDE w:val="0"/>
        <w:autoSpaceDN w:val="0"/>
        <w:adjustRightInd w:val="0"/>
        <w:rPr>
          <w:sz w:val="10"/>
          <w:szCs w:val="10"/>
        </w:rPr>
      </w:pPr>
    </w:p>
    <w:p w:rsidR="00F77357" w:rsidRPr="00F77357" w:rsidRDefault="00F77357" w:rsidP="00F77357">
      <w:pPr>
        <w:rPr>
          <w:rFonts w:ascii="Calibri" w:hAnsi="Calibri" w:cs="Calibri"/>
          <w:color w:val="1F497D"/>
          <w:highlight w:val="yellow"/>
        </w:rPr>
      </w:pPr>
      <w:hyperlink r:id="rId11" w:history="1">
        <w:r w:rsidRPr="00F77357">
          <w:rPr>
            <w:rStyle w:val="Lienhypertexte"/>
            <w:highlight w:val="yellow"/>
          </w:rPr>
          <w:t>https://www.banque-france.fr/sites/default/files/media/2019/02/11/formulaire_a1.pdf</w:t>
        </w:r>
      </w:hyperlink>
    </w:p>
    <w:p w:rsidR="00F77357" w:rsidRPr="00F77357" w:rsidRDefault="00F77357" w:rsidP="00F77357">
      <w:pPr>
        <w:rPr>
          <w:highlight w:val="yellow"/>
        </w:rPr>
      </w:pPr>
      <w:hyperlink r:id="rId12" w:history="1">
        <w:r w:rsidRPr="00F77357">
          <w:rPr>
            <w:rStyle w:val="Lienhypertexte"/>
            <w:highlight w:val="yellow"/>
          </w:rPr>
          <w:t>https://www.banque-france.fr/sites/default/files/media/2019/02/11/formulaire_a2.pdf</w:t>
        </w:r>
      </w:hyperlink>
    </w:p>
    <w:p w:rsidR="00F77357" w:rsidRPr="00F77357" w:rsidRDefault="00F77357" w:rsidP="00F77357">
      <w:pPr>
        <w:rPr>
          <w:highlight w:val="yellow"/>
        </w:rPr>
      </w:pPr>
      <w:hyperlink r:id="rId13" w:history="1">
        <w:r w:rsidRPr="00F77357">
          <w:rPr>
            <w:rStyle w:val="Lienhypertexte"/>
            <w:highlight w:val="yellow"/>
          </w:rPr>
          <w:t>https://www.banque-france.fr/sites/default/files/media/2019/02/11/formulaire_b1.pdf</w:t>
        </w:r>
      </w:hyperlink>
    </w:p>
    <w:p w:rsidR="00F77357" w:rsidRDefault="00F77357" w:rsidP="00F77357">
      <w:hyperlink r:id="rId14" w:history="1">
        <w:r w:rsidRPr="00F77357">
          <w:rPr>
            <w:rStyle w:val="Lienhypertexte"/>
            <w:highlight w:val="yellow"/>
          </w:rPr>
          <w:t>https://www.banque-france.fr/sites/default/files/media/2019/02/11/formulaire_b2.pdf</w:t>
        </w:r>
      </w:hyperlink>
    </w:p>
    <w:p w:rsidR="00F77357" w:rsidRPr="00F77357" w:rsidRDefault="00F77357" w:rsidP="00F77357">
      <w:pPr>
        <w:rPr>
          <w:rFonts w:ascii="Calibri" w:hAnsi="Calibri"/>
          <w:color w:val="1F497D"/>
        </w:rPr>
      </w:pPr>
    </w:p>
    <w:p w:rsidR="00281FF0" w:rsidRPr="00281FF0" w:rsidRDefault="00281FF0" w:rsidP="00A63077">
      <w:pPr>
        <w:autoSpaceDE w:val="0"/>
        <w:autoSpaceDN w:val="0"/>
        <w:adjustRightInd w:val="0"/>
        <w:rPr>
          <w:rFonts w:asciiTheme="minorHAnsi" w:hAnsiTheme="minorHAnsi" w:cstheme="minorHAnsi"/>
          <w:sz w:val="10"/>
          <w:szCs w:val="10"/>
        </w:rPr>
      </w:pPr>
      <w:bookmarkStart w:id="3" w:name="_GoBack"/>
      <w:bookmarkEnd w:id="3"/>
    </w:p>
    <w:p w:rsidR="00FE21E2" w:rsidRPr="00A74928" w:rsidRDefault="00FE21E2" w:rsidP="0040457A">
      <w:pPr>
        <w:autoSpaceDE w:val="0"/>
        <w:autoSpaceDN w:val="0"/>
        <w:adjustRightInd w:val="0"/>
        <w:rPr>
          <w:rFonts w:asciiTheme="minorHAnsi" w:hAnsiTheme="minorHAnsi"/>
        </w:rPr>
      </w:pPr>
      <w:r w:rsidRPr="00A74928">
        <w:rPr>
          <w:rFonts w:asciiTheme="minorHAnsi" w:hAnsiTheme="minorHAnsi"/>
        </w:rPr>
        <w:t>Le Service des Déclarants Directs Généraux se réserve la possibilité de poser des questions complémentaires au déclarant sur le financement des opérations, quand cel</w:t>
      </w:r>
      <w:r w:rsidR="004619BC" w:rsidRPr="00A74928">
        <w:rPr>
          <w:rFonts w:asciiTheme="minorHAnsi" w:hAnsiTheme="minorHAnsi"/>
        </w:rPr>
        <w:t>a</w:t>
      </w:r>
      <w:r w:rsidRPr="00A74928">
        <w:rPr>
          <w:rFonts w:asciiTheme="minorHAnsi" w:hAnsiTheme="minorHAnsi"/>
        </w:rPr>
        <w:t xml:space="preserve"> peut mettre en jeu d’autres déclarations à produire de sa part, notamment </w:t>
      </w:r>
      <w:r w:rsidR="001943B9" w:rsidRPr="00A74928">
        <w:rPr>
          <w:rFonts w:asciiTheme="minorHAnsi" w:hAnsiTheme="minorHAnsi"/>
        </w:rPr>
        <w:t xml:space="preserve">les états </w:t>
      </w:r>
      <w:r w:rsidRPr="00A74928">
        <w:rPr>
          <w:rFonts w:asciiTheme="minorHAnsi" w:hAnsiTheme="minorHAnsi"/>
        </w:rPr>
        <w:t xml:space="preserve">trimestriels </w:t>
      </w:r>
      <w:r w:rsidR="001943B9" w:rsidRPr="00A74928">
        <w:rPr>
          <w:rFonts w:asciiTheme="minorHAnsi" w:hAnsiTheme="minorHAnsi"/>
        </w:rPr>
        <w:t xml:space="preserve">de créances et dettes </w:t>
      </w:r>
      <w:r w:rsidRPr="00A74928">
        <w:rPr>
          <w:rFonts w:asciiTheme="minorHAnsi" w:hAnsiTheme="minorHAnsi"/>
        </w:rPr>
        <w:t xml:space="preserve">EFI, </w:t>
      </w:r>
      <w:r w:rsidR="001F7D24" w:rsidRPr="00A74928">
        <w:rPr>
          <w:rFonts w:asciiTheme="minorHAnsi" w:hAnsiTheme="minorHAnsi"/>
        </w:rPr>
        <w:t>au cas où</w:t>
      </w:r>
      <w:r w:rsidRPr="00A74928">
        <w:rPr>
          <w:rFonts w:asciiTheme="minorHAnsi" w:hAnsiTheme="minorHAnsi"/>
        </w:rPr>
        <w:t xml:space="preserve"> les investissements s’accompagnent de </w:t>
      </w:r>
      <w:r w:rsidR="001F7D24" w:rsidRPr="00A74928">
        <w:rPr>
          <w:rFonts w:asciiTheme="minorHAnsi" w:hAnsiTheme="minorHAnsi"/>
        </w:rPr>
        <w:t xml:space="preserve">la mise en place de </w:t>
      </w:r>
      <w:r w:rsidRPr="00A74928">
        <w:rPr>
          <w:rFonts w:asciiTheme="minorHAnsi" w:hAnsiTheme="minorHAnsi"/>
        </w:rPr>
        <w:t>crédits bancaires ou de prêts-emprunts intra-groupe.</w:t>
      </w:r>
    </w:p>
    <w:p w:rsidR="00FE21E2" w:rsidRPr="00A74928" w:rsidRDefault="00FE21E2" w:rsidP="0040457A">
      <w:pPr>
        <w:autoSpaceDE w:val="0"/>
        <w:autoSpaceDN w:val="0"/>
        <w:adjustRightInd w:val="0"/>
        <w:rPr>
          <w:rFonts w:asciiTheme="minorHAnsi" w:hAnsiTheme="minorHAnsi"/>
        </w:rPr>
      </w:pPr>
    </w:p>
    <w:p w:rsidR="00B2402B" w:rsidRPr="00A74928" w:rsidRDefault="00B2402B" w:rsidP="00B2402B">
      <w:pPr>
        <w:autoSpaceDE w:val="0"/>
        <w:autoSpaceDN w:val="0"/>
        <w:adjustRightInd w:val="0"/>
        <w:rPr>
          <w:rFonts w:asciiTheme="minorHAnsi" w:hAnsiTheme="minorHAnsi"/>
          <w:szCs w:val="22"/>
        </w:rPr>
      </w:pPr>
      <w:r w:rsidRPr="00A74928">
        <w:rPr>
          <w:rFonts w:asciiTheme="minorHAnsi" w:hAnsiTheme="minorHAnsi"/>
          <w:szCs w:val="22"/>
        </w:rPr>
        <w:t xml:space="preserve">Il est à noter que dès lors qu’une relation d’investissement direct est établie, les opérations de prêt- emprunt, les flux de trésorerie, les crédits commerciaux, et plus généralement l’ensemble des opérations financières entre le déclarant et </w:t>
      </w:r>
      <w:r w:rsidR="005B129A" w:rsidRPr="00A74928">
        <w:rPr>
          <w:rFonts w:asciiTheme="minorHAnsi" w:hAnsiTheme="minorHAnsi"/>
          <w:szCs w:val="22"/>
        </w:rPr>
        <w:t xml:space="preserve">sa contrepartie </w:t>
      </w:r>
      <w:r w:rsidR="00FE21E2" w:rsidRPr="00A74928">
        <w:rPr>
          <w:rFonts w:asciiTheme="minorHAnsi" w:hAnsiTheme="minorHAnsi"/>
          <w:szCs w:val="22"/>
        </w:rPr>
        <w:t xml:space="preserve">étrangère </w:t>
      </w:r>
      <w:r w:rsidRPr="00A74928">
        <w:rPr>
          <w:rFonts w:asciiTheme="minorHAnsi" w:hAnsiTheme="minorHAnsi"/>
          <w:szCs w:val="22"/>
        </w:rPr>
        <w:t>sont s</w:t>
      </w:r>
      <w:r w:rsidR="009E29DA" w:rsidRPr="00A74928">
        <w:rPr>
          <w:rFonts w:asciiTheme="minorHAnsi" w:hAnsiTheme="minorHAnsi"/>
          <w:szCs w:val="22"/>
        </w:rPr>
        <w:t>tipulés être réalisés entre « </w:t>
      </w:r>
      <w:r w:rsidRPr="00A74928">
        <w:rPr>
          <w:rFonts w:asciiTheme="minorHAnsi" w:hAnsiTheme="minorHAnsi"/>
          <w:szCs w:val="22"/>
        </w:rPr>
        <w:t>affiliés ». Leur identification devient alors obligatoire</w:t>
      </w:r>
      <w:r w:rsidR="001943B9" w:rsidRPr="00A74928">
        <w:rPr>
          <w:rFonts w:asciiTheme="minorHAnsi" w:hAnsiTheme="minorHAnsi"/>
          <w:szCs w:val="22"/>
        </w:rPr>
        <w:t xml:space="preserve"> dans chaque état de position</w:t>
      </w:r>
      <w:r w:rsidR="00BA66F7" w:rsidRPr="00A74928">
        <w:rPr>
          <w:rFonts w:asciiTheme="minorHAnsi" w:hAnsiTheme="minorHAnsi"/>
          <w:szCs w:val="22"/>
        </w:rPr>
        <w:t xml:space="preserve"> dont les DDG peuvent être redevables</w:t>
      </w:r>
      <w:r w:rsidR="001943B9" w:rsidRPr="00A74928">
        <w:rPr>
          <w:rFonts w:asciiTheme="minorHAnsi" w:hAnsiTheme="minorHAnsi"/>
          <w:szCs w:val="22"/>
        </w:rPr>
        <w:t xml:space="preserve">. Pour plus de renseignements les </w:t>
      </w:r>
      <w:r w:rsidR="00BA66F7" w:rsidRPr="00A74928">
        <w:rPr>
          <w:rFonts w:asciiTheme="minorHAnsi" w:hAnsiTheme="minorHAnsi"/>
          <w:szCs w:val="22"/>
        </w:rPr>
        <w:t xml:space="preserve">déclarants </w:t>
      </w:r>
      <w:r w:rsidR="001943B9" w:rsidRPr="00A74928">
        <w:rPr>
          <w:rFonts w:asciiTheme="minorHAnsi" w:hAnsiTheme="minorHAnsi"/>
          <w:szCs w:val="22"/>
        </w:rPr>
        <w:t>sont invités à se reporter</w:t>
      </w:r>
      <w:r w:rsidR="00EE124D" w:rsidRPr="00A74928">
        <w:rPr>
          <w:rFonts w:asciiTheme="minorHAnsi" w:hAnsiTheme="minorHAnsi"/>
          <w:szCs w:val="22"/>
        </w:rPr>
        <w:t xml:space="preserve"> à la lecture des</w:t>
      </w:r>
      <w:r w:rsidR="001943B9" w:rsidRPr="00A74928">
        <w:rPr>
          <w:rFonts w:asciiTheme="minorHAnsi" w:hAnsiTheme="minorHAnsi"/>
          <w:szCs w:val="22"/>
        </w:rPr>
        <w:t xml:space="preserve"> notices méthodologiques EFI et ECO</w:t>
      </w:r>
      <w:r w:rsidR="00FE21E2" w:rsidRPr="00A74928">
        <w:rPr>
          <w:rFonts w:asciiTheme="minorHAnsi" w:hAnsiTheme="minorHAnsi"/>
          <w:szCs w:val="22"/>
        </w:rPr>
        <w:t>.</w:t>
      </w:r>
    </w:p>
    <w:p w:rsidR="00B2402B" w:rsidRDefault="00B2402B" w:rsidP="007506B0">
      <w:pPr>
        <w:rPr>
          <w:szCs w:val="22"/>
        </w:rPr>
      </w:pPr>
    </w:p>
    <w:p w:rsidR="000A7FDA" w:rsidRDefault="000A7FDA" w:rsidP="007506B0">
      <w:pPr>
        <w:rPr>
          <w:szCs w:val="22"/>
        </w:rPr>
      </w:pPr>
    </w:p>
    <w:p w:rsidR="000A7FDA" w:rsidRPr="004619BC" w:rsidRDefault="005E4708" w:rsidP="001D68E8">
      <w:pPr>
        <w:shd w:val="clear" w:color="auto" w:fill="DBE5F1" w:themeFill="accent1" w:themeFillTint="33"/>
        <w:spacing w:after="120"/>
        <w:ind w:left="709" w:hanging="709"/>
        <w:jc w:val="left"/>
        <w:rPr>
          <w:rFonts w:ascii="Arial" w:hAnsi="Arial" w:cs="Arial"/>
          <w:b/>
          <w:caps/>
          <w:sz w:val="28"/>
          <w:szCs w:val="28"/>
        </w:rPr>
      </w:pPr>
      <w:r w:rsidRPr="004619BC">
        <w:rPr>
          <w:rFonts w:ascii="Arial" w:hAnsi="Arial" w:cs="Arial"/>
          <w:b/>
          <w:caps/>
          <w:sz w:val="28"/>
          <w:szCs w:val="28"/>
        </w:rPr>
        <w:t xml:space="preserve">5. </w:t>
      </w:r>
      <w:r w:rsidR="004619BC">
        <w:rPr>
          <w:rFonts w:ascii="Arial" w:hAnsi="Arial" w:cs="Arial"/>
          <w:b/>
          <w:caps/>
          <w:sz w:val="28"/>
          <w:szCs w:val="28"/>
        </w:rPr>
        <w:tab/>
      </w:r>
      <w:r w:rsidRPr="004619BC">
        <w:rPr>
          <w:rFonts w:ascii="Arial" w:hAnsi="Arial" w:cs="Arial"/>
          <w:b/>
          <w:caps/>
          <w:sz w:val="28"/>
          <w:szCs w:val="28"/>
        </w:rPr>
        <w:t>Cas particulier des com</w:t>
      </w:r>
      <w:r w:rsidR="004619BC">
        <w:rPr>
          <w:rFonts w:ascii="Arial" w:hAnsi="Arial" w:cs="Arial"/>
          <w:b/>
          <w:caps/>
          <w:sz w:val="28"/>
          <w:szCs w:val="28"/>
        </w:rPr>
        <w:t>pagnies aériennes étrangères</w:t>
      </w:r>
      <w:r w:rsidR="00E86554">
        <w:rPr>
          <w:rFonts w:ascii="Arial" w:hAnsi="Arial" w:cs="Arial"/>
          <w:b/>
          <w:caps/>
          <w:sz w:val="28"/>
          <w:szCs w:val="28"/>
        </w:rPr>
        <w:t xml:space="preserve"> (CAE)</w:t>
      </w:r>
    </w:p>
    <w:p w:rsidR="000A7FDA" w:rsidRDefault="000A7FDA" w:rsidP="000A7FDA"/>
    <w:p w:rsidR="000A7FDA" w:rsidRPr="00A74928" w:rsidRDefault="000A7FDA" w:rsidP="004619BC">
      <w:pPr>
        <w:rPr>
          <w:rFonts w:asciiTheme="minorHAnsi" w:hAnsiTheme="minorHAnsi"/>
        </w:rPr>
      </w:pPr>
      <w:r w:rsidRPr="00A74928">
        <w:rPr>
          <w:rFonts w:asciiTheme="minorHAnsi" w:hAnsiTheme="minorHAnsi"/>
        </w:rPr>
        <w:t xml:space="preserve">Les compagnies aériennes étrangères exerçant leur activité en France et soumises à la réglementation de la déclaration directe sous un statut de non-résident doivent établir un RTE à l’identique des déclarations produites par les autres DDG pour tous les règlements liés à leur activité commerciale d’escale ou de représentation sur le territoire français. Les principales rubriques qu’il convient à ces déclarants de servir </w:t>
      </w:r>
      <w:r w:rsidR="006947E7" w:rsidRPr="00A74928">
        <w:rPr>
          <w:rFonts w:asciiTheme="minorHAnsi" w:hAnsiTheme="minorHAnsi"/>
        </w:rPr>
        <w:t>sont</w:t>
      </w:r>
      <w:r w:rsidRPr="00A74928">
        <w:rPr>
          <w:rFonts w:asciiTheme="minorHAnsi" w:hAnsiTheme="minorHAnsi"/>
        </w:rPr>
        <w:t> :</w:t>
      </w:r>
    </w:p>
    <w:p w:rsidR="000A7FDA" w:rsidRPr="00A74928" w:rsidRDefault="000A7FDA" w:rsidP="000A7FDA">
      <w:pPr>
        <w:rPr>
          <w:rFonts w:asciiTheme="minorHAnsi" w:hAnsiTheme="minorHAnsi"/>
          <w:sz w:val="12"/>
          <w:szCs w:val="12"/>
        </w:rPr>
      </w:pPr>
    </w:p>
    <w:p w:rsidR="000A7FDA" w:rsidRPr="00A74928" w:rsidRDefault="000A7FDA" w:rsidP="00EA0639">
      <w:pPr>
        <w:pStyle w:val="Paragraphedeliste"/>
        <w:numPr>
          <w:ilvl w:val="0"/>
          <w:numId w:val="28"/>
        </w:numPr>
        <w:ind w:left="714" w:hanging="357"/>
        <w:contextualSpacing w:val="0"/>
        <w:rPr>
          <w:rFonts w:asciiTheme="minorHAnsi" w:hAnsiTheme="minorHAnsi"/>
        </w:rPr>
      </w:pPr>
      <w:r w:rsidRPr="00A74928">
        <w:rPr>
          <w:rFonts w:asciiTheme="minorHAnsi" w:hAnsiTheme="minorHAnsi"/>
        </w:rPr>
        <w:t>pour les recettes (à reporter dans le sens « D » de la déclaration) : les ventes directes de billets passagers et le chiffre d’affaires éventuellement réalisé au titre d’une activité cargo (fret)</w:t>
      </w:r>
      <w:r w:rsidRPr="00A74928">
        <w:rPr>
          <w:rStyle w:val="Appelnotedebasdep"/>
          <w:rFonts w:asciiTheme="minorHAnsi" w:hAnsiTheme="minorHAnsi"/>
        </w:rPr>
        <w:footnoteReference w:id="9"/>
      </w:r>
      <w:r w:rsidRPr="00A74928">
        <w:rPr>
          <w:rFonts w:asciiTheme="minorHAnsi" w:hAnsiTheme="minorHAnsi"/>
        </w:rPr>
        <w:t>;</w:t>
      </w:r>
    </w:p>
    <w:p w:rsidR="00EA0639" w:rsidRPr="00A74928" w:rsidRDefault="00EA0639" w:rsidP="00EA0639">
      <w:pPr>
        <w:pStyle w:val="Paragraphedeliste"/>
        <w:ind w:left="714"/>
        <w:contextualSpacing w:val="0"/>
        <w:rPr>
          <w:rFonts w:asciiTheme="minorHAnsi" w:hAnsiTheme="minorHAnsi"/>
          <w:sz w:val="12"/>
          <w:szCs w:val="12"/>
        </w:rPr>
      </w:pPr>
    </w:p>
    <w:p w:rsidR="000A7FDA" w:rsidRPr="00A74928" w:rsidRDefault="000A7FDA" w:rsidP="00EA0639">
      <w:pPr>
        <w:pStyle w:val="Paragraphedeliste"/>
        <w:numPr>
          <w:ilvl w:val="0"/>
          <w:numId w:val="28"/>
        </w:numPr>
        <w:ind w:left="714" w:hanging="357"/>
        <w:contextualSpacing w:val="0"/>
        <w:rPr>
          <w:rFonts w:asciiTheme="minorHAnsi" w:hAnsiTheme="minorHAnsi"/>
        </w:rPr>
      </w:pPr>
      <w:r w:rsidRPr="00A74928">
        <w:rPr>
          <w:rFonts w:asciiTheme="minorHAnsi" w:hAnsiTheme="minorHAnsi"/>
        </w:rPr>
        <w:t>pour les dépenses (à reporter dans le sens « R »)</w:t>
      </w:r>
      <w:r w:rsidR="00C3378C" w:rsidRPr="00A74928">
        <w:rPr>
          <w:rFonts w:asciiTheme="minorHAnsi" w:hAnsiTheme="minorHAnsi"/>
        </w:rPr>
        <w:t xml:space="preserve"> </w:t>
      </w:r>
      <w:r w:rsidRPr="00A74928">
        <w:rPr>
          <w:rFonts w:asciiTheme="minorHAnsi" w:hAnsiTheme="minorHAnsi"/>
        </w:rPr>
        <w:t>: les achats de carburant, les salaires, les frais de gestion, les commissions et frais bancaires</w:t>
      </w:r>
      <w:r w:rsidR="00E86554" w:rsidRPr="00A74928">
        <w:rPr>
          <w:rFonts w:asciiTheme="minorHAnsi" w:hAnsiTheme="minorHAnsi"/>
        </w:rPr>
        <w:t xml:space="preserve"> notamment</w:t>
      </w:r>
      <w:r w:rsidRPr="00A74928">
        <w:rPr>
          <w:rFonts w:asciiTheme="minorHAnsi" w:hAnsiTheme="minorHAnsi"/>
        </w:rPr>
        <w:t>.</w:t>
      </w:r>
    </w:p>
    <w:p w:rsidR="000A7FDA" w:rsidRPr="00A74928" w:rsidRDefault="000A7FDA" w:rsidP="000A7FDA">
      <w:pPr>
        <w:rPr>
          <w:rFonts w:asciiTheme="minorHAnsi" w:hAnsiTheme="minorHAnsi"/>
        </w:rPr>
      </w:pPr>
    </w:p>
    <w:p w:rsidR="000A7FDA" w:rsidRPr="00A74928" w:rsidRDefault="000A7FDA" w:rsidP="000A7FDA">
      <w:pPr>
        <w:rPr>
          <w:rFonts w:asciiTheme="minorHAnsi" w:hAnsiTheme="minorHAnsi"/>
        </w:rPr>
      </w:pPr>
      <w:r w:rsidRPr="00A74928">
        <w:rPr>
          <w:rFonts w:asciiTheme="minorHAnsi" w:hAnsiTheme="minorHAnsi"/>
        </w:rPr>
        <w:t xml:space="preserve">Les dépenses en relation avec la location d’avions (sans équipage) sont à déclarer séparément des services de transports dans la rubrique des « services de location » (également dans le sens « R »). Par simplification, dans la mesure où ces opérations restent marginales en volume, l’ensemble des autres prestations fournies par des contreparties résidentes (sauf les achats de matériels non déclarables) peuvent être regroupées sous la codification générale des « autres services </w:t>
      </w:r>
      <w:r w:rsidR="000F592D" w:rsidRPr="00A74928">
        <w:rPr>
          <w:rFonts w:asciiTheme="minorHAnsi" w:hAnsiTheme="minorHAnsi"/>
        </w:rPr>
        <w:t xml:space="preserve">fournis </w:t>
      </w:r>
      <w:r w:rsidRPr="00A74928">
        <w:rPr>
          <w:rFonts w:asciiTheme="minorHAnsi" w:hAnsiTheme="minorHAnsi"/>
        </w:rPr>
        <w:t xml:space="preserve">aux entreprises ». </w:t>
      </w:r>
    </w:p>
    <w:p w:rsidR="000A7FDA" w:rsidRPr="00A74928" w:rsidRDefault="000A7FDA" w:rsidP="000A7FDA">
      <w:pPr>
        <w:rPr>
          <w:rFonts w:asciiTheme="minorHAnsi" w:hAnsiTheme="minorHAnsi"/>
        </w:rPr>
      </w:pPr>
    </w:p>
    <w:p w:rsidR="000A7FDA" w:rsidRPr="00A74928" w:rsidRDefault="000A7FDA" w:rsidP="000A7FDA">
      <w:pPr>
        <w:rPr>
          <w:rFonts w:asciiTheme="minorHAnsi" w:hAnsiTheme="minorHAnsi"/>
        </w:rPr>
      </w:pPr>
      <w:r w:rsidRPr="00A74928">
        <w:rPr>
          <w:rFonts w:asciiTheme="minorHAnsi" w:hAnsiTheme="minorHAnsi"/>
        </w:rPr>
        <w:t>En pratique, pour se conf</w:t>
      </w:r>
      <w:r w:rsidR="004619BC" w:rsidRPr="00A74928">
        <w:rPr>
          <w:rFonts w:asciiTheme="minorHAnsi" w:hAnsiTheme="minorHAnsi"/>
        </w:rPr>
        <w:t>o</w:t>
      </w:r>
      <w:r w:rsidRPr="00A74928">
        <w:rPr>
          <w:rFonts w:asciiTheme="minorHAnsi" w:hAnsiTheme="minorHAnsi"/>
        </w:rPr>
        <w:t>rmer aux règles d</w:t>
      </w:r>
      <w:r w:rsidR="004619BC" w:rsidRPr="00A74928">
        <w:rPr>
          <w:rFonts w:asciiTheme="minorHAnsi" w:hAnsiTheme="minorHAnsi"/>
        </w:rPr>
        <w:t>e l</w:t>
      </w:r>
      <w:r w:rsidRPr="00A74928">
        <w:rPr>
          <w:rFonts w:asciiTheme="minorHAnsi" w:hAnsiTheme="minorHAnsi"/>
        </w:rPr>
        <w:t>’enregistrement en balance des paiements, qui fonctionne en sens contraire pour les non-résidents, le sens des flux doit être systématiquement inversé par les entreprises par rapport à leur enregistrement en comptabilité. Compte tenu du caractère particulier de leur activité, les déclarants sont autorisés à poursuive leur déclaration sur la base des paiements. L’application du principe de transactions énoncé au paragraphe 1 prend un caractère facultatif.</w:t>
      </w:r>
    </w:p>
    <w:p w:rsidR="000A7FDA" w:rsidRPr="00A74928" w:rsidRDefault="000A7FDA" w:rsidP="000A7FDA">
      <w:pPr>
        <w:rPr>
          <w:rFonts w:asciiTheme="minorHAnsi" w:hAnsiTheme="minorHAnsi"/>
        </w:rPr>
      </w:pPr>
    </w:p>
    <w:p w:rsidR="000A7FDA" w:rsidRPr="00A74928" w:rsidRDefault="000A7FDA" w:rsidP="000A7FDA">
      <w:pPr>
        <w:rPr>
          <w:rFonts w:asciiTheme="minorHAnsi" w:hAnsiTheme="minorHAnsi"/>
        </w:rPr>
      </w:pPr>
      <w:r w:rsidRPr="00A74928">
        <w:rPr>
          <w:rFonts w:asciiTheme="minorHAnsi" w:hAnsiTheme="minorHAnsi"/>
        </w:rPr>
        <w:lastRenderedPageBreak/>
        <w:t xml:space="preserve">En raison de l’évolution du système déclaratif, les compagnies aériennes </w:t>
      </w:r>
      <w:r w:rsidR="004619BC" w:rsidRPr="00A74928">
        <w:rPr>
          <w:rFonts w:asciiTheme="minorHAnsi" w:hAnsiTheme="minorHAnsi"/>
        </w:rPr>
        <w:t xml:space="preserve">étrangères </w:t>
      </w:r>
      <w:r w:rsidRPr="00A74928">
        <w:rPr>
          <w:rFonts w:asciiTheme="minorHAnsi" w:hAnsiTheme="minorHAnsi"/>
        </w:rPr>
        <w:t>sont dispensées de reprendre dans le RTE les frais d’escale autres que l’avitaillement, ainsi que les mouvements de trésorerie avec leur maison mère étrangère (approvisionnements ou nivellements de comptes). Ces flux sont déduits d’autres déclarations transmises à la Banque de France. Par ailleurs les positions des comptes détenus dans les banques françaises (solde créditeur ou débiteur) ne sont plus déclarables, car elles sont également inclu</w:t>
      </w:r>
      <w:r w:rsidR="008638F8" w:rsidRPr="00A74928">
        <w:rPr>
          <w:rFonts w:asciiTheme="minorHAnsi" w:hAnsiTheme="minorHAnsi"/>
        </w:rPr>
        <w:t>s</w:t>
      </w:r>
      <w:r w:rsidRPr="00A74928">
        <w:rPr>
          <w:rFonts w:asciiTheme="minorHAnsi" w:hAnsiTheme="minorHAnsi"/>
        </w:rPr>
        <w:t>es dans les rapports que la Banque reçoit régulièrement de ces établissements.</w:t>
      </w:r>
    </w:p>
    <w:p w:rsidR="000A7FDA" w:rsidRDefault="000A7FDA" w:rsidP="000A7FDA"/>
    <w:p w:rsidR="000A7FDA" w:rsidRPr="00A74928" w:rsidRDefault="000A7FDA" w:rsidP="000A7FDA">
      <w:pPr>
        <w:rPr>
          <w:rFonts w:asciiTheme="minorHAnsi" w:hAnsiTheme="minorHAnsi"/>
        </w:rPr>
      </w:pPr>
      <w:r w:rsidRPr="00A74928">
        <w:rPr>
          <w:rFonts w:asciiTheme="minorHAnsi" w:hAnsiTheme="minorHAnsi"/>
        </w:rPr>
        <w:t xml:space="preserve">Le RTE doit être </w:t>
      </w:r>
      <w:r w:rsidR="008638F8" w:rsidRPr="00A74928">
        <w:rPr>
          <w:rFonts w:asciiTheme="minorHAnsi" w:hAnsiTheme="minorHAnsi"/>
        </w:rPr>
        <w:t>déclaré</w:t>
      </w:r>
      <w:r w:rsidRPr="00A74928">
        <w:rPr>
          <w:rFonts w:asciiTheme="minorHAnsi" w:hAnsiTheme="minorHAnsi"/>
        </w:rPr>
        <w:t xml:space="preserve"> directement à la Banque de France chaque mois suivant les conditions générales fixées à tous les DDG (cf. paragraphe</w:t>
      </w:r>
      <w:r w:rsidR="0083021F" w:rsidRPr="00A74928">
        <w:rPr>
          <w:rFonts w:asciiTheme="minorHAnsi" w:hAnsiTheme="minorHAnsi"/>
        </w:rPr>
        <w:t xml:space="preserve"> 6</w:t>
      </w:r>
      <w:r w:rsidRPr="00A74928">
        <w:rPr>
          <w:rFonts w:asciiTheme="minorHAnsi" w:hAnsiTheme="minorHAnsi"/>
        </w:rPr>
        <w:t xml:space="preserve"> suivant). </w:t>
      </w:r>
    </w:p>
    <w:p w:rsidR="00E86554" w:rsidRPr="00A74928" w:rsidRDefault="00E86554" w:rsidP="000A7FDA">
      <w:pPr>
        <w:rPr>
          <w:rFonts w:asciiTheme="minorHAnsi" w:hAnsiTheme="minorHAnsi"/>
        </w:rPr>
      </w:pPr>
    </w:p>
    <w:p w:rsidR="00E86554" w:rsidRPr="00A74928" w:rsidRDefault="00E86554" w:rsidP="000A7FDA">
      <w:pPr>
        <w:rPr>
          <w:rFonts w:asciiTheme="minorHAnsi" w:hAnsiTheme="minorHAnsi"/>
        </w:rPr>
      </w:pPr>
      <w:r w:rsidRPr="00A74928">
        <w:rPr>
          <w:rFonts w:asciiTheme="minorHAnsi" w:hAnsiTheme="minorHAnsi"/>
        </w:rPr>
        <w:t>Un manuel de déclaration élaboré spécifiquement pour les besoins des CAE, et comprenant un guide de saisie de leurs informations dans le portail OneGate</w:t>
      </w:r>
      <w:r w:rsidR="00DA23D1" w:rsidRPr="00A74928">
        <w:rPr>
          <w:rFonts w:asciiTheme="minorHAnsi" w:hAnsiTheme="minorHAnsi"/>
        </w:rPr>
        <w:t>,</w:t>
      </w:r>
      <w:r w:rsidRPr="00A74928">
        <w:rPr>
          <w:rFonts w:asciiTheme="minorHAnsi" w:hAnsiTheme="minorHAnsi"/>
        </w:rPr>
        <w:t xml:space="preserve"> est également consultable sur le site internet de la Banque de France, en complément de cette notice méthodologique à la suite de la documentation du RTE.</w:t>
      </w:r>
    </w:p>
    <w:p w:rsidR="000A7FDA" w:rsidRPr="00453900" w:rsidRDefault="000A7FDA" w:rsidP="007506B0">
      <w:pPr>
        <w:rPr>
          <w:szCs w:val="22"/>
        </w:rPr>
      </w:pPr>
    </w:p>
    <w:p w:rsidR="007506B0" w:rsidRPr="00453900" w:rsidRDefault="007506B0" w:rsidP="007506B0">
      <w:pPr>
        <w:rPr>
          <w:szCs w:val="22"/>
        </w:rPr>
      </w:pPr>
    </w:p>
    <w:p w:rsidR="00BB0DBE" w:rsidRPr="004619BC" w:rsidRDefault="007506B0" w:rsidP="001D68E8">
      <w:pPr>
        <w:pStyle w:val="Titre1"/>
        <w:numPr>
          <w:ilvl w:val="0"/>
          <w:numId w:val="27"/>
        </w:numPr>
        <w:shd w:val="clear" w:color="auto" w:fill="DBE5F1" w:themeFill="accent1" w:themeFillTint="33"/>
        <w:spacing w:before="0" w:after="120"/>
        <w:ind w:left="709" w:hanging="709"/>
        <w:rPr>
          <w:rFonts w:cs="Arial"/>
          <w:caps/>
          <w:sz w:val="28"/>
          <w:szCs w:val="28"/>
        </w:rPr>
      </w:pPr>
      <w:bookmarkStart w:id="4" w:name="_Toc331685322"/>
      <w:r w:rsidRPr="004619BC">
        <w:rPr>
          <w:rFonts w:cs="Arial"/>
          <w:caps/>
          <w:sz w:val="28"/>
          <w:szCs w:val="28"/>
        </w:rPr>
        <w:t>Modalités de transmission</w:t>
      </w:r>
      <w:bookmarkEnd w:id="4"/>
    </w:p>
    <w:p w:rsidR="007506B0" w:rsidRPr="00A74928" w:rsidRDefault="007506B0" w:rsidP="008638F8">
      <w:pPr>
        <w:pStyle w:val="Titre3"/>
        <w:numPr>
          <w:ilvl w:val="0"/>
          <w:numId w:val="0"/>
        </w:numPr>
        <w:spacing w:before="240" w:after="0"/>
        <w:jc w:val="both"/>
        <w:rPr>
          <w:rFonts w:asciiTheme="minorHAnsi" w:hAnsiTheme="minorHAnsi"/>
          <w:sz w:val="22"/>
          <w:szCs w:val="22"/>
        </w:rPr>
      </w:pPr>
      <w:r w:rsidRPr="00A74928">
        <w:rPr>
          <w:rFonts w:asciiTheme="minorHAnsi" w:hAnsiTheme="minorHAnsi"/>
          <w:bCs/>
          <w:sz w:val="22"/>
          <w:szCs w:val="22"/>
        </w:rPr>
        <w:t xml:space="preserve">La déclaration </w:t>
      </w:r>
      <w:r w:rsidRPr="00A74928">
        <w:rPr>
          <w:rFonts w:asciiTheme="minorHAnsi" w:hAnsiTheme="minorHAnsi"/>
          <w:sz w:val="22"/>
          <w:szCs w:val="22"/>
        </w:rPr>
        <w:t xml:space="preserve">doit être réalisée par le biais du guichet sécurisé ONEGATE </w:t>
      </w:r>
      <w:r w:rsidRPr="00A74928">
        <w:rPr>
          <w:rFonts w:asciiTheme="minorHAnsi" w:hAnsiTheme="minorHAnsi"/>
          <w:bCs/>
          <w:sz w:val="22"/>
          <w:szCs w:val="22"/>
        </w:rPr>
        <w:t>:</w:t>
      </w:r>
    </w:p>
    <w:p w:rsidR="007506B0" w:rsidRPr="00453900" w:rsidRDefault="00F77357" w:rsidP="007506B0">
      <w:pPr>
        <w:pStyle w:val="Retraitcorpsdetexte2"/>
        <w:ind w:left="0"/>
        <w:rPr>
          <w:b w:val="0"/>
          <w:bCs/>
          <w:szCs w:val="22"/>
        </w:rPr>
      </w:pPr>
      <w:hyperlink r:id="rId15" w:history="1">
        <w:r w:rsidR="00281FF0" w:rsidRPr="006563E2">
          <w:rPr>
            <w:rStyle w:val="Lienhypertexte"/>
            <w:b w:val="0"/>
            <w:bCs/>
            <w:szCs w:val="22"/>
          </w:rPr>
          <w:t>https://onegate.banque-france.fr/onegate</w:t>
        </w:r>
      </w:hyperlink>
      <w:r w:rsidR="007506B0" w:rsidRPr="00453900">
        <w:rPr>
          <w:b w:val="0"/>
          <w:bCs/>
          <w:szCs w:val="22"/>
        </w:rPr>
        <w:t xml:space="preserve"> </w:t>
      </w:r>
    </w:p>
    <w:p w:rsidR="00DE522E" w:rsidRDefault="00DE522E" w:rsidP="00DE522E">
      <w:pPr>
        <w:pStyle w:val="Retraitcorpsdetexte2"/>
        <w:spacing w:before="0"/>
        <w:ind w:left="0"/>
        <w:rPr>
          <w:b w:val="0"/>
          <w:bCs/>
          <w:szCs w:val="22"/>
        </w:rPr>
      </w:pPr>
    </w:p>
    <w:p w:rsidR="007506B0" w:rsidRPr="00A74928" w:rsidRDefault="007506B0" w:rsidP="007506B0">
      <w:pPr>
        <w:pStyle w:val="Retraitcorpsdetexte2"/>
        <w:ind w:left="0"/>
        <w:rPr>
          <w:rFonts w:asciiTheme="minorHAnsi" w:hAnsiTheme="minorHAnsi"/>
          <w:b w:val="0"/>
          <w:bCs/>
          <w:szCs w:val="22"/>
        </w:rPr>
      </w:pPr>
      <w:r w:rsidRPr="00A74928">
        <w:rPr>
          <w:rFonts w:asciiTheme="minorHAnsi" w:hAnsiTheme="minorHAnsi"/>
          <w:b w:val="0"/>
          <w:bCs/>
          <w:szCs w:val="22"/>
        </w:rPr>
        <w:t>Celui-ci propose différentes modalités de déclaration :</w:t>
      </w:r>
    </w:p>
    <w:p w:rsidR="007506B0" w:rsidRPr="00A74928" w:rsidRDefault="007506B0" w:rsidP="005C6587">
      <w:pPr>
        <w:pStyle w:val="Retraitcorpsdetexte2"/>
        <w:numPr>
          <w:ilvl w:val="0"/>
          <w:numId w:val="6"/>
        </w:numPr>
        <w:ind w:left="992" w:hanging="357"/>
        <w:rPr>
          <w:rFonts w:asciiTheme="minorHAnsi" w:hAnsiTheme="minorHAnsi"/>
          <w:b w:val="0"/>
          <w:bCs/>
          <w:szCs w:val="22"/>
        </w:rPr>
      </w:pPr>
      <w:r w:rsidRPr="00A74928">
        <w:rPr>
          <w:rFonts w:asciiTheme="minorHAnsi" w:hAnsiTheme="minorHAnsi"/>
          <w:b w:val="0"/>
          <w:bCs/>
          <w:szCs w:val="22"/>
        </w:rPr>
        <w:t>par saisie manuelle,</w:t>
      </w:r>
    </w:p>
    <w:p w:rsidR="007506B0" w:rsidRPr="00A74928" w:rsidRDefault="007506B0" w:rsidP="005C6587">
      <w:pPr>
        <w:pStyle w:val="Retraitcorpsdetexte2"/>
        <w:numPr>
          <w:ilvl w:val="0"/>
          <w:numId w:val="6"/>
        </w:numPr>
        <w:spacing w:before="40"/>
        <w:ind w:left="992" w:hanging="357"/>
        <w:rPr>
          <w:rFonts w:asciiTheme="minorHAnsi" w:hAnsiTheme="minorHAnsi"/>
          <w:b w:val="0"/>
          <w:bCs/>
          <w:szCs w:val="22"/>
        </w:rPr>
      </w:pPr>
      <w:r w:rsidRPr="00A74928">
        <w:rPr>
          <w:rFonts w:asciiTheme="minorHAnsi" w:hAnsiTheme="minorHAnsi"/>
          <w:b w:val="0"/>
          <w:bCs/>
          <w:szCs w:val="22"/>
        </w:rPr>
        <w:t>par import de fichiers CSV,</w:t>
      </w:r>
    </w:p>
    <w:p w:rsidR="007506B0" w:rsidRPr="00A74928" w:rsidRDefault="007506B0" w:rsidP="005C6587">
      <w:pPr>
        <w:pStyle w:val="Retraitcorpsdetexte2"/>
        <w:numPr>
          <w:ilvl w:val="0"/>
          <w:numId w:val="6"/>
        </w:numPr>
        <w:spacing w:before="40"/>
        <w:ind w:left="992" w:hanging="357"/>
        <w:rPr>
          <w:rFonts w:asciiTheme="minorHAnsi" w:hAnsiTheme="minorHAnsi"/>
          <w:b w:val="0"/>
          <w:bCs/>
          <w:szCs w:val="22"/>
        </w:rPr>
      </w:pPr>
      <w:r w:rsidRPr="00A74928">
        <w:rPr>
          <w:rFonts w:asciiTheme="minorHAnsi" w:hAnsiTheme="minorHAnsi"/>
          <w:b w:val="0"/>
          <w:bCs/>
          <w:szCs w:val="22"/>
        </w:rPr>
        <w:t>par chargement de fichiers XML,</w:t>
      </w:r>
    </w:p>
    <w:p w:rsidR="007506B0" w:rsidRPr="00A74928" w:rsidRDefault="007506B0" w:rsidP="005C6587">
      <w:pPr>
        <w:pStyle w:val="Retraitcorpsdetexte2"/>
        <w:numPr>
          <w:ilvl w:val="0"/>
          <w:numId w:val="6"/>
        </w:numPr>
        <w:spacing w:before="40"/>
        <w:ind w:left="992" w:hanging="357"/>
        <w:rPr>
          <w:rFonts w:asciiTheme="minorHAnsi" w:hAnsiTheme="minorHAnsi"/>
          <w:b w:val="0"/>
          <w:bCs/>
          <w:szCs w:val="22"/>
        </w:rPr>
      </w:pPr>
      <w:r w:rsidRPr="00A74928">
        <w:rPr>
          <w:rFonts w:asciiTheme="minorHAnsi" w:hAnsiTheme="minorHAnsi"/>
          <w:b w:val="0"/>
          <w:bCs/>
          <w:szCs w:val="22"/>
        </w:rPr>
        <w:t>par télétransmission de fichiers XML.</w:t>
      </w:r>
    </w:p>
    <w:p w:rsidR="007506B0" w:rsidRPr="00A74928" w:rsidRDefault="007506B0" w:rsidP="00DE522E">
      <w:pPr>
        <w:pStyle w:val="Default"/>
        <w:spacing w:before="120"/>
        <w:jc w:val="both"/>
        <w:rPr>
          <w:rFonts w:asciiTheme="minorHAnsi" w:hAnsiTheme="minorHAnsi"/>
          <w:sz w:val="22"/>
          <w:szCs w:val="22"/>
        </w:rPr>
      </w:pPr>
    </w:p>
    <w:p w:rsidR="007506B0" w:rsidRPr="00A74928" w:rsidRDefault="007506B0" w:rsidP="007506B0">
      <w:pPr>
        <w:pStyle w:val="Default"/>
        <w:jc w:val="both"/>
        <w:rPr>
          <w:rFonts w:asciiTheme="minorHAnsi" w:hAnsiTheme="minorHAnsi"/>
          <w:sz w:val="22"/>
          <w:szCs w:val="22"/>
        </w:rPr>
      </w:pPr>
      <w:r w:rsidRPr="00A74928">
        <w:rPr>
          <w:rFonts w:asciiTheme="minorHAnsi" w:hAnsiTheme="minorHAnsi"/>
          <w:sz w:val="22"/>
          <w:szCs w:val="22"/>
        </w:rPr>
        <w:t xml:space="preserve">Le </w:t>
      </w:r>
      <w:r w:rsidRPr="00A74928">
        <w:rPr>
          <w:rFonts w:asciiTheme="minorHAnsi" w:hAnsiTheme="minorHAnsi"/>
          <w:bCs/>
          <w:sz w:val="22"/>
          <w:szCs w:val="22"/>
        </w:rPr>
        <w:t>manuel utilisateur qui donne les informations pratiques sur le fonctionnement de ce portail est accessible</w:t>
      </w:r>
      <w:r w:rsidR="005E69FA" w:rsidRPr="00A74928">
        <w:rPr>
          <w:rFonts w:asciiTheme="minorHAnsi" w:hAnsiTheme="minorHAnsi"/>
          <w:bCs/>
          <w:sz w:val="22"/>
          <w:szCs w:val="22"/>
        </w:rPr>
        <w:t xml:space="preserve"> </w:t>
      </w:r>
      <w:r w:rsidRPr="00A74928">
        <w:rPr>
          <w:rFonts w:asciiTheme="minorHAnsi" w:hAnsiTheme="minorHAnsi"/>
          <w:bCs/>
          <w:sz w:val="22"/>
          <w:szCs w:val="22"/>
        </w:rPr>
        <w:t>également sur le</w:t>
      </w:r>
      <w:r w:rsidRPr="00A74928">
        <w:rPr>
          <w:rFonts w:asciiTheme="minorHAnsi" w:hAnsiTheme="minorHAnsi"/>
          <w:sz w:val="22"/>
          <w:szCs w:val="22"/>
        </w:rPr>
        <w:t xml:space="preserve"> site internet de la Banque de France sous la rubrique «</w:t>
      </w:r>
      <w:r w:rsidR="00A63912" w:rsidRPr="00A74928">
        <w:rPr>
          <w:rFonts w:asciiTheme="minorHAnsi" w:hAnsiTheme="minorHAnsi"/>
          <w:sz w:val="22"/>
          <w:szCs w:val="22"/>
        </w:rPr>
        <w:t xml:space="preserve"> Espace déclarants/ DDG » («  D</w:t>
      </w:r>
      <w:r w:rsidRPr="00A74928">
        <w:rPr>
          <w:rFonts w:asciiTheme="minorHAnsi" w:hAnsiTheme="minorHAnsi"/>
          <w:sz w:val="22"/>
          <w:szCs w:val="22"/>
        </w:rPr>
        <w:t>ispositions applicables dans le système OneGate ») :</w:t>
      </w:r>
    </w:p>
    <w:p w:rsidR="007506B0" w:rsidRPr="00A74928" w:rsidRDefault="007506B0" w:rsidP="007506B0">
      <w:pPr>
        <w:pStyle w:val="Default"/>
        <w:jc w:val="both"/>
        <w:rPr>
          <w:rFonts w:asciiTheme="minorHAnsi" w:hAnsiTheme="minorHAnsi"/>
          <w:sz w:val="12"/>
          <w:szCs w:val="12"/>
        </w:rPr>
      </w:pPr>
    </w:p>
    <w:p w:rsidR="0095583E" w:rsidRPr="0095583E" w:rsidRDefault="00F77357" w:rsidP="0095583E">
      <w:pPr>
        <w:pStyle w:val="Default"/>
        <w:jc w:val="both"/>
        <w:rPr>
          <w:rFonts w:ascii="Calibri" w:hAnsi="Calibri" w:cs="Calibri"/>
          <w:sz w:val="22"/>
          <w:szCs w:val="22"/>
        </w:rPr>
      </w:pPr>
      <w:hyperlink r:id="rId16" w:history="1">
        <w:r w:rsidR="0095583E" w:rsidRPr="0095583E">
          <w:rPr>
            <w:rStyle w:val="Lienhypertexte"/>
            <w:rFonts w:ascii="Calibri" w:hAnsi="Calibri" w:cs="Calibri"/>
            <w:sz w:val="22"/>
            <w:szCs w:val="22"/>
          </w:rPr>
          <w:t>https://www.banque-france.fr/sites/default/files/media/2016/11/14/manuel-utilisateur-onegate.pdf</w:t>
        </w:r>
      </w:hyperlink>
      <w:r w:rsidR="0095583E" w:rsidRPr="0095583E">
        <w:rPr>
          <w:rFonts w:ascii="Calibri" w:hAnsi="Calibri" w:cs="Calibri"/>
          <w:sz w:val="22"/>
          <w:szCs w:val="22"/>
        </w:rPr>
        <w:t xml:space="preserve"> </w:t>
      </w:r>
    </w:p>
    <w:p w:rsidR="0095583E" w:rsidRPr="004B3656" w:rsidRDefault="0095583E" w:rsidP="0095583E">
      <w:pPr>
        <w:rPr>
          <w:rFonts w:ascii="Arial" w:hAnsi="Arial" w:cs="Arial"/>
          <w:sz w:val="18"/>
          <w:szCs w:val="18"/>
        </w:rPr>
      </w:pPr>
    </w:p>
    <w:p w:rsidR="007506B0" w:rsidRPr="00A74928" w:rsidRDefault="007506B0" w:rsidP="00DE522E">
      <w:pPr>
        <w:pStyle w:val="Default"/>
        <w:spacing w:before="120"/>
        <w:jc w:val="both"/>
        <w:rPr>
          <w:rFonts w:asciiTheme="minorHAnsi" w:hAnsiTheme="minorHAnsi"/>
          <w:sz w:val="22"/>
          <w:szCs w:val="22"/>
        </w:rPr>
      </w:pPr>
      <w:r w:rsidRPr="00A74928">
        <w:rPr>
          <w:rFonts w:asciiTheme="minorHAnsi" w:hAnsiTheme="minorHAnsi"/>
          <w:sz w:val="22"/>
          <w:szCs w:val="22"/>
        </w:rPr>
        <w:t xml:space="preserve">Le </w:t>
      </w:r>
      <w:r w:rsidRPr="00A74928">
        <w:rPr>
          <w:rFonts w:asciiTheme="minorHAnsi" w:hAnsiTheme="minorHAnsi"/>
          <w:bCs/>
          <w:sz w:val="22"/>
          <w:szCs w:val="22"/>
        </w:rPr>
        <w:t xml:space="preserve">cahier des charges informatique </w:t>
      </w:r>
      <w:r w:rsidRPr="00A74928">
        <w:rPr>
          <w:rFonts w:asciiTheme="minorHAnsi" w:hAnsiTheme="minorHAnsi"/>
          <w:sz w:val="22"/>
          <w:szCs w:val="22"/>
        </w:rPr>
        <w:t>qui précise les spécifications techniques relatives aux remises de fichiers est consultable sous la même rubrique à la ligne « RTE ».</w:t>
      </w:r>
    </w:p>
    <w:p w:rsidR="007506B0" w:rsidRPr="00A74928" w:rsidRDefault="007506B0" w:rsidP="007506B0">
      <w:pPr>
        <w:pStyle w:val="Default"/>
        <w:jc w:val="both"/>
        <w:rPr>
          <w:rFonts w:asciiTheme="minorHAnsi" w:hAnsiTheme="minorHAnsi"/>
          <w:sz w:val="22"/>
          <w:szCs w:val="22"/>
        </w:rPr>
      </w:pPr>
    </w:p>
    <w:p w:rsidR="00EA0639" w:rsidRPr="00A74928" w:rsidRDefault="00EA0639" w:rsidP="007506B0">
      <w:pPr>
        <w:pStyle w:val="Default"/>
        <w:jc w:val="both"/>
        <w:rPr>
          <w:rFonts w:asciiTheme="minorHAnsi" w:hAnsiTheme="minorHAnsi"/>
          <w:sz w:val="22"/>
          <w:szCs w:val="22"/>
        </w:rPr>
      </w:pPr>
    </w:p>
    <w:p w:rsidR="007506B0" w:rsidRPr="00A74928" w:rsidRDefault="007506B0" w:rsidP="007506B0">
      <w:pPr>
        <w:pStyle w:val="Default"/>
        <w:jc w:val="both"/>
        <w:rPr>
          <w:rFonts w:asciiTheme="minorHAnsi" w:hAnsiTheme="minorHAnsi"/>
          <w:sz w:val="22"/>
          <w:szCs w:val="22"/>
        </w:rPr>
      </w:pPr>
      <w:r w:rsidRPr="00A74928">
        <w:rPr>
          <w:rFonts w:asciiTheme="minorHAnsi" w:hAnsiTheme="minorHAnsi"/>
          <w:bCs/>
          <w:sz w:val="22"/>
          <w:szCs w:val="22"/>
        </w:rPr>
        <w:t xml:space="preserve">Pour toute question les déclarants peuvent contacter leurs correspondants du Service des Déclarants Directs Généraux à l’adresse suivante : </w:t>
      </w:r>
    </w:p>
    <w:p w:rsidR="007506B0" w:rsidRDefault="007506B0" w:rsidP="007506B0">
      <w:pPr>
        <w:pStyle w:val="Default"/>
        <w:jc w:val="both"/>
        <w:rPr>
          <w:sz w:val="22"/>
          <w:szCs w:val="22"/>
        </w:rPr>
      </w:pPr>
    </w:p>
    <w:p w:rsidR="00517A91" w:rsidRPr="00453900" w:rsidRDefault="00517A91" w:rsidP="007506B0">
      <w:pPr>
        <w:pStyle w:val="Default"/>
        <w:jc w:val="both"/>
        <w:rPr>
          <w:sz w:val="22"/>
          <w:szCs w:val="22"/>
        </w:rPr>
      </w:pPr>
    </w:p>
    <w:p w:rsidR="007506B0" w:rsidRPr="00453900" w:rsidRDefault="007506B0" w:rsidP="007506B0">
      <w:pPr>
        <w:pStyle w:val="Default"/>
        <w:jc w:val="center"/>
        <w:rPr>
          <w:rFonts w:ascii="Arial" w:hAnsi="Arial" w:cs="Arial"/>
          <w:b/>
          <w:color w:val="1F497D"/>
          <w:sz w:val="22"/>
          <w:szCs w:val="22"/>
        </w:rPr>
      </w:pPr>
      <w:r w:rsidRPr="00453900">
        <w:rPr>
          <w:rFonts w:ascii="Arial" w:hAnsi="Arial" w:cs="Arial"/>
          <w:b/>
          <w:color w:val="1F497D"/>
          <w:sz w:val="22"/>
          <w:szCs w:val="22"/>
        </w:rPr>
        <w:t>Banque de France</w:t>
      </w:r>
    </w:p>
    <w:p w:rsidR="007506B0" w:rsidRPr="00453900" w:rsidRDefault="007506B0" w:rsidP="007506B0">
      <w:pPr>
        <w:pStyle w:val="Default"/>
        <w:jc w:val="center"/>
        <w:rPr>
          <w:rFonts w:ascii="Arial" w:hAnsi="Arial" w:cs="Arial"/>
          <w:color w:val="1F497D"/>
          <w:sz w:val="22"/>
          <w:szCs w:val="22"/>
        </w:rPr>
      </w:pPr>
      <w:r w:rsidRPr="00453900">
        <w:rPr>
          <w:rFonts w:ascii="Arial" w:hAnsi="Arial" w:cs="Arial"/>
          <w:color w:val="1F497D"/>
          <w:sz w:val="22"/>
          <w:szCs w:val="22"/>
        </w:rPr>
        <w:t>Direction Générale des Statistiques</w:t>
      </w:r>
      <w:r w:rsidR="00F77357">
        <w:rPr>
          <w:rFonts w:ascii="Arial" w:hAnsi="Arial" w:cs="Arial"/>
          <w:color w:val="1F497D"/>
          <w:sz w:val="22"/>
          <w:szCs w:val="22"/>
        </w:rPr>
        <w:t xml:space="preserve">, </w:t>
      </w:r>
      <w:r w:rsidR="00F77357" w:rsidRPr="00F77357">
        <w:rPr>
          <w:rFonts w:ascii="Arial" w:hAnsi="Arial" w:cs="Arial"/>
          <w:color w:val="1F497D"/>
          <w:sz w:val="22"/>
          <w:szCs w:val="22"/>
          <w:highlight w:val="yellow"/>
        </w:rPr>
        <w:t>des Etudes et de l’International</w:t>
      </w:r>
    </w:p>
    <w:p w:rsidR="007506B0" w:rsidRPr="00453900" w:rsidRDefault="007506B0" w:rsidP="007506B0">
      <w:pPr>
        <w:pStyle w:val="Default"/>
        <w:jc w:val="center"/>
        <w:rPr>
          <w:rFonts w:ascii="Arial" w:hAnsi="Arial" w:cs="Arial"/>
          <w:color w:val="1F497D"/>
          <w:sz w:val="22"/>
          <w:szCs w:val="22"/>
        </w:rPr>
      </w:pPr>
      <w:r w:rsidRPr="00453900">
        <w:rPr>
          <w:rFonts w:ascii="Arial" w:hAnsi="Arial" w:cs="Arial"/>
          <w:color w:val="1F497D"/>
          <w:sz w:val="22"/>
          <w:szCs w:val="22"/>
        </w:rPr>
        <w:t>Direction des Enquêtes et Statistiques Sectorielles</w:t>
      </w:r>
    </w:p>
    <w:p w:rsidR="007506B0" w:rsidRPr="00453900" w:rsidRDefault="007506B0" w:rsidP="007506B0">
      <w:pPr>
        <w:pStyle w:val="Default"/>
        <w:jc w:val="center"/>
        <w:rPr>
          <w:rFonts w:ascii="Arial" w:hAnsi="Arial" w:cs="Arial"/>
          <w:color w:val="1F497D"/>
          <w:sz w:val="22"/>
          <w:szCs w:val="22"/>
        </w:rPr>
      </w:pPr>
      <w:r w:rsidRPr="00453900">
        <w:rPr>
          <w:rFonts w:ascii="Arial" w:hAnsi="Arial" w:cs="Arial"/>
          <w:color w:val="1F497D"/>
          <w:sz w:val="22"/>
          <w:szCs w:val="22"/>
        </w:rPr>
        <w:t>Service des Déclarants Directs Généraux</w:t>
      </w:r>
    </w:p>
    <w:p w:rsidR="007506B0" w:rsidRPr="00453900" w:rsidRDefault="007506B0" w:rsidP="007506B0">
      <w:pPr>
        <w:pStyle w:val="Default"/>
        <w:jc w:val="center"/>
        <w:rPr>
          <w:rFonts w:ascii="Arial" w:hAnsi="Arial" w:cs="Arial"/>
          <w:color w:val="1F497D"/>
          <w:sz w:val="22"/>
          <w:szCs w:val="22"/>
        </w:rPr>
      </w:pPr>
      <w:r w:rsidRPr="00453900">
        <w:rPr>
          <w:rFonts w:ascii="Arial" w:hAnsi="Arial" w:cs="Arial"/>
          <w:color w:val="1F497D"/>
          <w:sz w:val="22"/>
          <w:szCs w:val="22"/>
        </w:rPr>
        <w:t>43-1560 SDDG - 75049 Paris Cedex 01</w:t>
      </w:r>
    </w:p>
    <w:p w:rsidR="007506B0" w:rsidRPr="00453900" w:rsidRDefault="007506B0" w:rsidP="007506B0">
      <w:pPr>
        <w:pStyle w:val="Default"/>
        <w:jc w:val="center"/>
        <w:rPr>
          <w:rFonts w:ascii="Arial" w:hAnsi="Arial" w:cs="Arial"/>
          <w:color w:val="1F497D"/>
          <w:sz w:val="22"/>
          <w:szCs w:val="22"/>
        </w:rPr>
      </w:pPr>
    </w:p>
    <w:p w:rsidR="007506B0" w:rsidRPr="00453900" w:rsidRDefault="007506B0" w:rsidP="007506B0">
      <w:pPr>
        <w:pStyle w:val="Default"/>
        <w:jc w:val="center"/>
        <w:rPr>
          <w:rFonts w:ascii="Arial" w:hAnsi="Arial" w:cs="Arial"/>
          <w:sz w:val="22"/>
          <w:szCs w:val="22"/>
        </w:rPr>
      </w:pPr>
      <w:r w:rsidRPr="00453900">
        <w:rPr>
          <w:rFonts w:ascii="Arial" w:hAnsi="Arial" w:cs="Arial"/>
          <w:sz w:val="22"/>
          <w:szCs w:val="22"/>
          <w:u w:val="single"/>
        </w:rPr>
        <w:t>Courriel</w:t>
      </w:r>
      <w:r w:rsidRPr="00453900">
        <w:rPr>
          <w:rFonts w:ascii="Arial" w:hAnsi="Arial" w:cs="Arial"/>
          <w:sz w:val="22"/>
          <w:szCs w:val="22"/>
        </w:rPr>
        <w:t> :</w:t>
      </w:r>
      <w:r w:rsidRPr="00453900">
        <w:rPr>
          <w:rFonts w:ascii="Arial" w:hAnsi="Arial" w:cs="Arial"/>
          <w:color w:val="1F497D"/>
          <w:sz w:val="22"/>
          <w:szCs w:val="22"/>
        </w:rPr>
        <w:t xml:space="preserve"> </w:t>
      </w:r>
      <w:r w:rsidR="00F77357" w:rsidRPr="00F77357">
        <w:rPr>
          <w:rFonts w:ascii="Arial" w:hAnsi="Arial" w:cs="Arial"/>
          <w:color w:val="1F497D"/>
          <w:sz w:val="22"/>
          <w:szCs w:val="22"/>
          <w:highlight w:val="yellow"/>
        </w:rPr>
        <w:t>1560-UT</w:t>
      </w:r>
      <w:r w:rsidRPr="00F77357">
        <w:rPr>
          <w:rFonts w:ascii="Arial" w:hAnsi="Arial" w:cs="Arial"/>
          <w:color w:val="1F497D"/>
          <w:sz w:val="22"/>
          <w:szCs w:val="22"/>
          <w:highlight w:val="yellow"/>
        </w:rPr>
        <w:t>@banque-france.fr</w:t>
      </w:r>
    </w:p>
    <w:sectPr w:rsidR="007506B0" w:rsidRPr="00453900" w:rsidSect="00A20152">
      <w:headerReference w:type="even" r:id="rId17"/>
      <w:headerReference w:type="default" r:id="rId18"/>
      <w:footerReference w:type="even" r:id="rId19"/>
      <w:footerReference w:type="default" r:id="rId20"/>
      <w:headerReference w:type="first" r:id="rId21"/>
      <w:footerReference w:type="first" r:id="rId22"/>
      <w:pgSz w:w="11906" w:h="16838" w:code="9"/>
      <w:pgMar w:top="907" w:right="1418" w:bottom="567" w:left="1418" w:header="72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156" w:rsidRDefault="00C52156">
      <w:r>
        <w:separator/>
      </w:r>
    </w:p>
  </w:endnote>
  <w:endnote w:type="continuationSeparator" w:id="0">
    <w:p w:rsidR="00C52156" w:rsidRDefault="00C5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ljovic-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56" w:rsidRDefault="00B92E7D" w:rsidP="00BA0BA2">
    <w:pPr>
      <w:pStyle w:val="Pieddepage"/>
      <w:framePr w:wrap="around" w:vAnchor="text" w:hAnchor="margin" w:xAlign="right" w:y="1"/>
      <w:rPr>
        <w:rStyle w:val="Numrodepage"/>
      </w:rPr>
    </w:pPr>
    <w:r>
      <w:rPr>
        <w:rStyle w:val="Numrodepage"/>
      </w:rPr>
      <w:fldChar w:fldCharType="begin"/>
    </w:r>
    <w:r w:rsidR="00C52156">
      <w:rPr>
        <w:rStyle w:val="Numrodepage"/>
      </w:rPr>
      <w:instrText xml:space="preserve">PAGE  </w:instrText>
    </w:r>
    <w:r>
      <w:rPr>
        <w:rStyle w:val="Numrodepage"/>
      </w:rPr>
      <w:fldChar w:fldCharType="separate"/>
    </w:r>
    <w:r w:rsidR="00C52156">
      <w:rPr>
        <w:rStyle w:val="Numrodepage"/>
        <w:noProof/>
      </w:rPr>
      <w:t>3</w:t>
    </w:r>
    <w:r>
      <w:rPr>
        <w:rStyle w:val="Numrodepage"/>
      </w:rPr>
      <w:fldChar w:fldCharType="end"/>
    </w:r>
  </w:p>
  <w:p w:rsidR="00C52156" w:rsidRDefault="00C52156" w:rsidP="00F6020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56" w:rsidRPr="00BA0BA2" w:rsidRDefault="00B92E7D" w:rsidP="00615D1C">
    <w:pPr>
      <w:pStyle w:val="Pieddepage"/>
      <w:framePr w:wrap="around" w:vAnchor="text" w:hAnchor="margin" w:xAlign="right" w:y="1"/>
      <w:rPr>
        <w:rStyle w:val="Numrodepage"/>
        <w:sz w:val="16"/>
        <w:szCs w:val="16"/>
      </w:rPr>
    </w:pPr>
    <w:r w:rsidRPr="00BA0BA2">
      <w:rPr>
        <w:rStyle w:val="Numrodepage"/>
        <w:sz w:val="16"/>
        <w:szCs w:val="16"/>
      </w:rPr>
      <w:fldChar w:fldCharType="begin"/>
    </w:r>
    <w:r w:rsidR="00C52156" w:rsidRPr="00BA0BA2">
      <w:rPr>
        <w:rStyle w:val="Numrodepage"/>
        <w:sz w:val="16"/>
        <w:szCs w:val="16"/>
      </w:rPr>
      <w:instrText xml:space="preserve">PAGE  </w:instrText>
    </w:r>
    <w:r w:rsidRPr="00BA0BA2">
      <w:rPr>
        <w:rStyle w:val="Numrodepage"/>
        <w:sz w:val="16"/>
        <w:szCs w:val="16"/>
      </w:rPr>
      <w:fldChar w:fldCharType="separate"/>
    </w:r>
    <w:r w:rsidR="00F77357">
      <w:rPr>
        <w:rStyle w:val="Numrodepage"/>
        <w:noProof/>
        <w:sz w:val="16"/>
        <w:szCs w:val="16"/>
      </w:rPr>
      <w:t>10</w:t>
    </w:r>
    <w:r w:rsidRPr="00BA0BA2">
      <w:rPr>
        <w:rStyle w:val="Numrodepage"/>
        <w:sz w:val="16"/>
        <w:szCs w:val="16"/>
      </w:rPr>
      <w:fldChar w:fldCharType="end"/>
    </w:r>
  </w:p>
  <w:p w:rsidR="00C52156" w:rsidRPr="00B8457E" w:rsidRDefault="00C52156" w:rsidP="00846B89">
    <w:pPr>
      <w:pStyle w:val="Pieddepageimpaire"/>
      <w:pBdr>
        <w:top w:val="single" w:sz="6" w:space="1" w:color="auto"/>
      </w:pBdr>
      <w:tabs>
        <w:tab w:val="right" w:pos="9356"/>
      </w:tabs>
      <w:ind w:right="360"/>
      <w:rPr>
        <w:i w:val="0"/>
      </w:rPr>
    </w:pPr>
    <w:r w:rsidRPr="00417F55">
      <w:rPr>
        <w:i w:val="0"/>
        <w:sz w:val="18"/>
        <w:szCs w:val="18"/>
      </w:rPr>
      <w:t xml:space="preserve">Notice méthodologique  </w:t>
    </w:r>
    <w:r>
      <w:rPr>
        <w:i w:val="0"/>
        <w:sz w:val="18"/>
        <w:szCs w:val="18"/>
      </w:rPr>
      <w:t>RTE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56" w:rsidRPr="007B703F" w:rsidRDefault="00C52156" w:rsidP="000A5CEE">
    <w:pPr>
      <w:jc w:val="right"/>
      <w:rPr>
        <w:rFonts w:ascii="Arial" w:hAnsi="Arial" w:cs="Arial"/>
        <w:b/>
        <w:i/>
        <w:color w:val="1F497D"/>
        <w:sz w:val="16"/>
        <w:szCs w:val="16"/>
      </w:rPr>
    </w:pPr>
    <w:r w:rsidRPr="007B703F">
      <w:rPr>
        <w:rFonts w:ascii="Arial" w:hAnsi="Arial" w:cs="Arial"/>
        <w:b/>
        <w:i/>
        <w:color w:val="1F497D"/>
        <w:sz w:val="16"/>
        <w:szCs w:val="16"/>
      </w:rPr>
      <w:t>Mise à jour le 1</w:t>
    </w:r>
    <w:r w:rsidRPr="00BC0E4E">
      <w:rPr>
        <w:rFonts w:ascii="Arial" w:hAnsi="Arial" w:cs="Arial"/>
        <w:b/>
        <w:i/>
        <w:color w:val="1F497D"/>
        <w:sz w:val="16"/>
        <w:szCs w:val="16"/>
        <w:vertAlign w:val="superscript"/>
      </w:rPr>
      <w:t>er</w:t>
    </w:r>
    <w:r w:rsidR="00B72250">
      <w:rPr>
        <w:rFonts w:ascii="Arial" w:hAnsi="Arial" w:cs="Arial"/>
        <w:b/>
        <w:i/>
        <w:color w:val="1F497D"/>
        <w:sz w:val="16"/>
        <w:szCs w:val="16"/>
      </w:rPr>
      <w:t xml:space="preserve">janvier </w:t>
    </w:r>
    <w:r>
      <w:rPr>
        <w:rFonts w:ascii="Arial" w:hAnsi="Arial" w:cs="Arial"/>
        <w:b/>
        <w:i/>
        <w:color w:val="1F497D"/>
        <w:sz w:val="16"/>
        <w:szCs w:val="16"/>
      </w:rPr>
      <w:t>201</w:t>
    </w:r>
    <w:r w:rsidR="00B72250">
      <w:rPr>
        <w:rFonts w:ascii="Arial" w:hAnsi="Arial" w:cs="Arial"/>
        <w:b/>
        <w:i/>
        <w:color w:val="1F497D"/>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156" w:rsidRDefault="00C52156">
      <w:r>
        <w:separator/>
      </w:r>
    </w:p>
  </w:footnote>
  <w:footnote w:type="continuationSeparator" w:id="0">
    <w:p w:rsidR="00C52156" w:rsidRDefault="00C52156">
      <w:r>
        <w:continuationSeparator/>
      </w:r>
    </w:p>
  </w:footnote>
  <w:footnote w:id="1">
    <w:p w:rsidR="00C52156" w:rsidRPr="00A74928" w:rsidRDefault="00C52156" w:rsidP="00D573E5">
      <w:pPr>
        <w:pStyle w:val="Notedebasdepage"/>
        <w:rPr>
          <w:rFonts w:asciiTheme="minorHAnsi" w:hAnsiTheme="minorHAnsi"/>
        </w:rPr>
      </w:pPr>
      <w:r>
        <w:rPr>
          <w:rStyle w:val="Appelnotedebasdep"/>
        </w:rPr>
        <w:footnoteRef/>
      </w:r>
      <w:r w:rsidR="00696562">
        <w:t xml:space="preserve"> </w:t>
      </w:r>
      <w:r w:rsidR="00696562" w:rsidRPr="00A74928">
        <w:rPr>
          <w:rFonts w:asciiTheme="minorHAnsi" w:hAnsiTheme="minorHAnsi"/>
        </w:rPr>
        <w:t xml:space="preserve">Les autres collectivités </w:t>
      </w:r>
      <w:r w:rsidRPr="00A74928">
        <w:rPr>
          <w:rFonts w:asciiTheme="minorHAnsi" w:hAnsiTheme="minorHAnsi"/>
        </w:rPr>
        <w:t>d’outre-mer (Polynésie française, Wallis-et-Futuna) et la Nouvelle Calédonie, qui ne sont juridiquement pas membres de l’Union Européenne et de la zone euro, sont exclues du champ statistique de la balance des paiements de la France.</w:t>
      </w:r>
    </w:p>
  </w:footnote>
  <w:footnote w:id="2">
    <w:p w:rsidR="00C52156" w:rsidRPr="00A74928" w:rsidRDefault="00C52156" w:rsidP="00C22E86">
      <w:pPr>
        <w:pStyle w:val="Notedebasdepage"/>
        <w:spacing w:before="0" w:after="0"/>
        <w:rPr>
          <w:rFonts w:asciiTheme="minorHAnsi" w:hAnsiTheme="minorHAnsi"/>
          <w:sz w:val="10"/>
          <w:szCs w:val="10"/>
        </w:rPr>
      </w:pPr>
      <w:r w:rsidRPr="00A74928">
        <w:rPr>
          <w:rStyle w:val="Appelnotedebasdep"/>
          <w:rFonts w:asciiTheme="minorHAnsi" w:hAnsiTheme="minorHAnsi"/>
        </w:rPr>
        <w:footnoteRef/>
      </w:r>
      <w:r w:rsidRPr="00A74928">
        <w:rPr>
          <w:rFonts w:asciiTheme="minorHAnsi" w:hAnsiTheme="minorHAnsi"/>
        </w:rPr>
        <w:t xml:space="preserve">  En principe au moins un an au titre d’une période effectivement écoulée ou envisagée pour l’activité d’une entité sur un territoire, ce critère devant être appliqué avec souplesse selon le secteur. Il peut être utile de consulter le Service des Déclarants Directs Généraux sur les questions particulières de résidence relatives aux grands projets de construction dans le BTP.</w:t>
      </w:r>
      <w:r w:rsidRPr="00A74928">
        <w:rPr>
          <w:rFonts w:asciiTheme="minorHAnsi" w:hAnsiTheme="minorHAnsi"/>
          <w:sz w:val="10"/>
          <w:szCs w:val="10"/>
        </w:rPr>
        <w:t xml:space="preserve"> </w:t>
      </w:r>
    </w:p>
    <w:p w:rsidR="00C52156" w:rsidRDefault="00C52156">
      <w:pPr>
        <w:pStyle w:val="Notedebasdepage"/>
      </w:pPr>
    </w:p>
  </w:footnote>
  <w:footnote w:id="3">
    <w:p w:rsidR="00C52156" w:rsidRPr="00C22E86" w:rsidRDefault="00C52156" w:rsidP="00C22E86">
      <w:pPr>
        <w:pStyle w:val="Notedebasdepage"/>
        <w:spacing w:before="0" w:after="0"/>
        <w:rPr>
          <w:sz w:val="10"/>
          <w:szCs w:val="10"/>
        </w:rPr>
      </w:pPr>
      <w:r>
        <w:rPr>
          <w:rStyle w:val="Appelnotedebasdep"/>
        </w:rPr>
        <w:footnoteRef/>
      </w:r>
      <w:r>
        <w:t xml:space="preserve">  </w:t>
      </w:r>
      <w:r>
        <w:tab/>
        <w:t>Le principe d’enregistrement en « droits constatés » était déjà recommandé dans le 5</w:t>
      </w:r>
      <w:r w:rsidRPr="00E132F4">
        <w:rPr>
          <w:vertAlign w:val="superscript"/>
        </w:rPr>
        <w:t>e</w:t>
      </w:r>
      <w:r>
        <w:t xml:space="preserve"> Manuel du FMI (1993), mais il est repris avec une exigence plus forte dans sa dernière version (2009), qui en étend le domaine d’application à toutes les transactions courantes à recenser (services d’assurance, revenus d’investissement notamment). Il permet d’appréhender la réalité économique des échanges indépendamment des délais de paiement. Pour contrepartie de toute opération économique la méthodologie impose désormais que des créances et des engagements doivent être créés : lorsqu’il y a réalisation d’une prestation de service, attribution d’un revenu, ou transfert de propriété d’un bien (le transfert peut être soit juridique soit économique). En cas de  décalage entre l’enregistrement de la transaction et celui du règlement correspondant, on doit inscrire en balance des paiements en opération financière une créance ou un engagement né du fait du paiement différé (crédit commercial pour les exportations de marchandises par exemple - cf. état trimestriel ECO).</w:t>
      </w:r>
      <w:r w:rsidRPr="00C22E86">
        <w:rPr>
          <w:sz w:val="10"/>
          <w:szCs w:val="10"/>
        </w:rPr>
        <w:t xml:space="preserve"> </w:t>
      </w:r>
    </w:p>
    <w:p w:rsidR="00C52156" w:rsidRDefault="00C52156" w:rsidP="00F5510D">
      <w:pPr>
        <w:pStyle w:val="Notedebasdepage"/>
      </w:pPr>
    </w:p>
  </w:footnote>
  <w:footnote w:id="4">
    <w:p w:rsidR="00C52156" w:rsidRDefault="00C52156">
      <w:pPr>
        <w:pStyle w:val="Notedebasdepage"/>
      </w:pPr>
      <w:r>
        <w:rPr>
          <w:rStyle w:val="Appelnotedebasdep"/>
        </w:rPr>
        <w:footnoteRef/>
      </w:r>
      <w:r>
        <w:t xml:space="preserve"> </w:t>
      </w:r>
      <w:r>
        <w:tab/>
        <w:t>Pour les compagnies aériennes étrangères les opérations à reporter dans la déclaration doivent correspondre en sens inverse aux transactions enregistrées avec des contreparties résidentes et seulement à celles-ci (cf. paragraphe 6). Les flux avec les non-résidents (notamment les mouvements avec les maisons mères étrangères) ne doivent en aucun cas être repris.</w:t>
      </w:r>
    </w:p>
    <w:p w:rsidR="00C52156" w:rsidRPr="00C22E86" w:rsidRDefault="00C52156" w:rsidP="00C22E86">
      <w:pPr>
        <w:pStyle w:val="Notedebasdepage"/>
        <w:spacing w:before="0" w:after="0"/>
        <w:rPr>
          <w:sz w:val="10"/>
          <w:szCs w:val="10"/>
        </w:rPr>
      </w:pPr>
    </w:p>
  </w:footnote>
  <w:footnote w:id="5">
    <w:p w:rsidR="00C52156" w:rsidRDefault="00C52156">
      <w:pPr>
        <w:pStyle w:val="Notedebasdepage"/>
      </w:pPr>
      <w:r>
        <w:rPr>
          <w:rStyle w:val="Appelnotedebasdep"/>
        </w:rPr>
        <w:footnoteRef/>
      </w:r>
      <w:r>
        <w:t xml:space="preserve">  Achat de biens à des non-résidents revendus à des non-résidents sans que les biens franchissent les frontières du territoire statistique français : ces transactions, correspondent principalement à l’activité de « trading » ou d’arbitrage réalisée par les déclarants appartenant au secteur professionnel du commerce de gros, ou à des flux de marchandises entre maisons mères et filiales dans le cadre d’une activité industrielle (échange de pièces détachées, de produits semi-finis et finis…).</w:t>
      </w:r>
    </w:p>
  </w:footnote>
  <w:footnote w:id="6">
    <w:p w:rsidR="00C52156" w:rsidRDefault="00C52156">
      <w:pPr>
        <w:pStyle w:val="Notedebasdepage"/>
      </w:pPr>
      <w:r>
        <w:rPr>
          <w:rStyle w:val="Appelnotedebasdep"/>
        </w:rPr>
        <w:footnoteRef/>
      </w:r>
      <w:r>
        <w:t xml:space="preserve"> </w:t>
      </w:r>
      <w:r>
        <w:tab/>
        <w:t>Transports ferroviaire, maritime, aérien et spatial auxquels s’ajoutent désormais les transports routier, fluvial, de pétrole (et de produits connexes) par conduites et d’électricité (nouveaux modes que le 6</w:t>
      </w:r>
      <w:r w:rsidRPr="00A20152">
        <w:rPr>
          <w:vertAlign w:val="superscript"/>
        </w:rPr>
        <w:t>e</w:t>
      </w:r>
      <w:r>
        <w:t xml:space="preserve"> Manuel du FMI demande de distinguer).</w:t>
      </w:r>
    </w:p>
    <w:p w:rsidR="00C52156" w:rsidRPr="00C22E86" w:rsidRDefault="00C52156" w:rsidP="00C22E86">
      <w:pPr>
        <w:pStyle w:val="Notedebasdepage"/>
        <w:spacing w:before="0" w:after="0"/>
        <w:rPr>
          <w:sz w:val="10"/>
          <w:szCs w:val="10"/>
        </w:rPr>
      </w:pPr>
    </w:p>
  </w:footnote>
  <w:footnote w:id="7">
    <w:p w:rsidR="00C52156" w:rsidRPr="00A74928" w:rsidRDefault="00C52156">
      <w:pPr>
        <w:pStyle w:val="Notedebasdepage"/>
        <w:rPr>
          <w:rFonts w:asciiTheme="minorHAnsi" w:hAnsiTheme="minorHAnsi"/>
        </w:rPr>
      </w:pPr>
      <w:r>
        <w:rPr>
          <w:rStyle w:val="Appelnotedebasdep"/>
        </w:rPr>
        <w:footnoteRef/>
      </w:r>
      <w:r>
        <w:t xml:space="preserve"> </w:t>
      </w:r>
      <w:r w:rsidRPr="00A74928">
        <w:rPr>
          <w:rFonts w:asciiTheme="minorHAnsi" w:hAnsiTheme="minorHAnsi"/>
        </w:rPr>
        <w:tab/>
        <w:t>De même que les remboursements d’impôts et taxes versés par le Trésor Public français, recouvrés par les DDG et destinés à des sociétés non résidentes (généralement sociétés du même groupe).</w:t>
      </w:r>
    </w:p>
    <w:p w:rsidR="00C52156" w:rsidRPr="00C22E86" w:rsidRDefault="00C52156" w:rsidP="00C22E86">
      <w:pPr>
        <w:pStyle w:val="Notedebasdepage"/>
        <w:spacing w:before="0"/>
        <w:rPr>
          <w:sz w:val="10"/>
          <w:szCs w:val="10"/>
        </w:rPr>
      </w:pPr>
    </w:p>
  </w:footnote>
  <w:footnote w:id="8">
    <w:p w:rsidR="00C52156" w:rsidRDefault="00C52156">
      <w:pPr>
        <w:pStyle w:val="Notedebasdepage"/>
      </w:pPr>
      <w:r>
        <w:rPr>
          <w:rStyle w:val="Appelnotedebasdep"/>
        </w:rPr>
        <w:footnoteRef/>
      </w:r>
      <w:r>
        <w:t xml:space="preserve"> Article 5 de la Décision n°2007-01 du Comité monétaire du Conseil général de la Banque de France.</w:t>
      </w:r>
    </w:p>
    <w:p w:rsidR="00C52156" w:rsidRDefault="00C52156" w:rsidP="00C22E86">
      <w:pPr>
        <w:pStyle w:val="Notedebasdepage"/>
        <w:ind w:left="142" w:firstLine="0"/>
      </w:pPr>
      <w:r>
        <w:t>« Les personnes morales mentionnées à l’article L141-6 du Code monétaire et financier déclarent à la Banque de France les informations statistiques relatives à la contrepartie et aux modalités des opérations d’investissements directs suivantes, dans les 20 jours ouvrables après la date de leur règlement lorsque leur montant dépasse 15 millions d’euros : les investissements directs étrangers en France et leur liquidation, l’acquisition ou la cession d’entreprises non résidentes par des résidents, l’acquisition ou la cession de biens immobiliers à l’étranger par des résidents et en France par des non-résidents. »</w:t>
      </w:r>
    </w:p>
    <w:p w:rsidR="00C52156" w:rsidRPr="00C22E86" w:rsidRDefault="00C52156" w:rsidP="00C22E86">
      <w:pPr>
        <w:pStyle w:val="Notedebasdepage"/>
        <w:spacing w:before="0" w:after="0"/>
        <w:ind w:left="0" w:firstLine="0"/>
        <w:rPr>
          <w:sz w:val="10"/>
          <w:szCs w:val="10"/>
        </w:rPr>
      </w:pPr>
    </w:p>
  </w:footnote>
  <w:footnote w:id="9">
    <w:p w:rsidR="00C52156" w:rsidRPr="00C22E86" w:rsidRDefault="00C52156" w:rsidP="00A257C5">
      <w:pPr>
        <w:pStyle w:val="Notedebasdepage"/>
        <w:spacing w:before="0" w:after="0"/>
        <w:rPr>
          <w:sz w:val="10"/>
          <w:szCs w:val="10"/>
        </w:rPr>
      </w:pPr>
      <w:r>
        <w:rPr>
          <w:rStyle w:val="Appelnotedebasdep"/>
        </w:rPr>
        <w:footnoteRef/>
      </w:r>
      <w:r>
        <w:t xml:space="preserve"> </w:t>
      </w:r>
      <w:r>
        <w:tab/>
        <w:t>À l’exclusion des virements rentrant dans le cadre des systèmes de « clearing » IATA (International Air Transport Association), BSP (Billing and Settlement Plan) ou CASS (Cargo Accounts Settlement Systems), dont les règlements font déjà l’objet d’une déclaration à la Banque de France.</w:t>
      </w:r>
      <w:r w:rsidRPr="00A257C5">
        <w:rPr>
          <w:sz w:val="10"/>
          <w:szCs w:val="10"/>
        </w:rPr>
        <w:t xml:space="preserve"> </w:t>
      </w:r>
    </w:p>
    <w:p w:rsidR="00C52156" w:rsidRDefault="00C52156" w:rsidP="000A7FD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56" w:rsidRDefault="00B92E7D" w:rsidP="004B189F">
    <w:pPr>
      <w:pStyle w:val="En-tte"/>
      <w:framePr w:wrap="around" w:vAnchor="text" w:hAnchor="margin" w:xAlign="right" w:y="1"/>
      <w:rPr>
        <w:rStyle w:val="Numrodepage"/>
      </w:rPr>
    </w:pPr>
    <w:r>
      <w:rPr>
        <w:rStyle w:val="Numrodepage"/>
      </w:rPr>
      <w:fldChar w:fldCharType="begin"/>
    </w:r>
    <w:r w:rsidR="00C52156">
      <w:rPr>
        <w:rStyle w:val="Numrodepage"/>
      </w:rPr>
      <w:instrText xml:space="preserve">PAGE  </w:instrText>
    </w:r>
    <w:r>
      <w:rPr>
        <w:rStyle w:val="Numrodepage"/>
      </w:rPr>
      <w:fldChar w:fldCharType="separate"/>
    </w:r>
    <w:r w:rsidR="00C52156">
      <w:rPr>
        <w:rStyle w:val="Numrodepage"/>
        <w:noProof/>
      </w:rPr>
      <w:t>3</w:t>
    </w:r>
    <w:r>
      <w:rPr>
        <w:rStyle w:val="Numrodepage"/>
      </w:rPr>
      <w:fldChar w:fldCharType="end"/>
    </w:r>
  </w:p>
  <w:p w:rsidR="00C52156" w:rsidRDefault="00C52156" w:rsidP="004B189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56" w:rsidRDefault="00C52156" w:rsidP="00A33AD1">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156" w:rsidRDefault="00C52156" w:rsidP="00A33AD1">
    <w:pPr>
      <w:ind w:right="-284"/>
      <w:jc w:val="center"/>
      <w:rPr>
        <w:b/>
        <w:sz w:val="28"/>
      </w:rPr>
    </w:pPr>
  </w:p>
  <w:p w:rsidR="00C52156" w:rsidRDefault="00C52156" w:rsidP="000662BC">
    <w:pPr>
      <w:pStyle w:val="En-tte"/>
      <w:pBdr>
        <w:bottom w:val="none" w:sz="0" w:space="0" w:color="auto"/>
      </w:pBdr>
    </w:pPr>
  </w:p>
  <w:p w:rsidR="00C52156" w:rsidRDefault="00C52156" w:rsidP="000662BC">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4D47"/>
    <w:multiLevelType w:val="hybridMultilevel"/>
    <w:tmpl w:val="301C1D32"/>
    <w:lvl w:ilvl="0" w:tplc="11F2C0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0263F"/>
    <w:multiLevelType w:val="hybridMultilevel"/>
    <w:tmpl w:val="0FC2D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52FF2"/>
    <w:multiLevelType w:val="hybridMultilevel"/>
    <w:tmpl w:val="2E4ED712"/>
    <w:lvl w:ilvl="0" w:tplc="2FAAE7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CD113B"/>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F12AE8"/>
    <w:multiLevelType w:val="hybridMultilevel"/>
    <w:tmpl w:val="61F46D4A"/>
    <w:lvl w:ilvl="0" w:tplc="D84C6B10">
      <w:start w:val="7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376C36"/>
    <w:multiLevelType w:val="hybridMultilevel"/>
    <w:tmpl w:val="701E9176"/>
    <w:lvl w:ilvl="0" w:tplc="603A13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0845BD"/>
    <w:multiLevelType w:val="hybridMultilevel"/>
    <w:tmpl w:val="448AAEDA"/>
    <w:lvl w:ilvl="0" w:tplc="D84C6B10">
      <w:start w:val="7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883631"/>
    <w:multiLevelType w:val="hybridMultilevel"/>
    <w:tmpl w:val="4B4C1B4C"/>
    <w:lvl w:ilvl="0" w:tplc="D84C6B10">
      <w:start w:val="7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653E8"/>
    <w:multiLevelType w:val="hybridMultilevel"/>
    <w:tmpl w:val="7F58B06E"/>
    <w:lvl w:ilvl="0" w:tplc="D84C6B10">
      <w:start w:val="7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267025"/>
    <w:multiLevelType w:val="hybridMultilevel"/>
    <w:tmpl w:val="59FCA5B6"/>
    <w:lvl w:ilvl="0" w:tplc="6DBC679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0D06CD"/>
    <w:multiLevelType w:val="hybridMultilevel"/>
    <w:tmpl w:val="B68E1ECA"/>
    <w:lvl w:ilvl="0" w:tplc="543CE2FE">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106F6B"/>
    <w:multiLevelType w:val="hybridMultilevel"/>
    <w:tmpl w:val="5D2CC696"/>
    <w:lvl w:ilvl="0" w:tplc="D84C6B10">
      <w:start w:val="7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7856AD"/>
    <w:multiLevelType w:val="hybridMultilevel"/>
    <w:tmpl w:val="15BE5EB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986022"/>
    <w:multiLevelType w:val="hybridMultilevel"/>
    <w:tmpl w:val="556806CE"/>
    <w:lvl w:ilvl="0" w:tplc="794E385A">
      <w:start w:val="3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5BA9363B"/>
    <w:multiLevelType w:val="hybridMultilevel"/>
    <w:tmpl w:val="4992FE5E"/>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15" w15:restartNumberingAfterBreak="0">
    <w:nsid w:val="603C368D"/>
    <w:multiLevelType w:val="hybridMultilevel"/>
    <w:tmpl w:val="B2A87042"/>
    <w:lvl w:ilvl="0" w:tplc="603A13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D22177"/>
    <w:multiLevelType w:val="hybridMultilevel"/>
    <w:tmpl w:val="0BAAEE92"/>
    <w:lvl w:ilvl="0" w:tplc="D84C6B10">
      <w:start w:val="7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425B6B"/>
    <w:multiLevelType w:val="hybridMultilevel"/>
    <w:tmpl w:val="D414B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3A1F03"/>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3DF224F"/>
    <w:multiLevelType w:val="hybridMultilevel"/>
    <w:tmpl w:val="D348EC80"/>
    <w:lvl w:ilvl="0" w:tplc="D84C6B10">
      <w:start w:val="7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C118E9"/>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353"/>
        </w:tabs>
        <w:ind w:left="1353"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4F13D03"/>
    <w:multiLevelType w:val="hybridMultilevel"/>
    <w:tmpl w:val="A8845FA4"/>
    <w:lvl w:ilvl="0" w:tplc="158AC47A">
      <w:start w:val="1"/>
      <w:numFmt w:val="bullet"/>
      <w:lvlText w:val=""/>
      <w:lvlJc w:val="left"/>
      <w:pPr>
        <w:ind w:left="720" w:hanging="360"/>
      </w:pPr>
      <w:rPr>
        <w:rFonts w:ascii="Symbol" w:hAnsi="Symbol" w:cs="Veljovic-Book"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630F16"/>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353"/>
        </w:tabs>
        <w:ind w:left="1353"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426"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4" w15:restartNumberingAfterBreak="0">
    <w:nsid w:val="6953604D"/>
    <w:multiLevelType w:val="hybridMultilevel"/>
    <w:tmpl w:val="A9BE4D5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0B00C1"/>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353"/>
        </w:tabs>
        <w:ind w:left="1353"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B542712"/>
    <w:multiLevelType w:val="hybridMultilevel"/>
    <w:tmpl w:val="CDC8063E"/>
    <w:lvl w:ilvl="0" w:tplc="BB5E7FE4">
      <w:start w:val="6"/>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7" w15:restartNumberingAfterBreak="0">
    <w:nsid w:val="7BF77CA4"/>
    <w:multiLevelType w:val="hybridMultilevel"/>
    <w:tmpl w:val="586ED232"/>
    <w:lvl w:ilvl="0" w:tplc="994C6B92">
      <w:start w:val="1"/>
      <w:numFmt w:val="decimal"/>
      <w:lvlText w:val="%1."/>
      <w:lvlJc w:val="left"/>
      <w:pPr>
        <w:ind w:left="502"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23"/>
  </w:num>
  <w:num w:numId="2">
    <w:abstractNumId w:val="23"/>
  </w:num>
  <w:num w:numId="3">
    <w:abstractNumId w:val="23"/>
  </w:num>
  <w:num w:numId="4">
    <w:abstractNumId w:val="23"/>
  </w:num>
  <w:num w:numId="5">
    <w:abstractNumId w:val="23"/>
  </w:num>
  <w:num w:numId="6">
    <w:abstractNumId w:val="4"/>
  </w:num>
  <w:num w:numId="7">
    <w:abstractNumId w:val="16"/>
  </w:num>
  <w:num w:numId="8">
    <w:abstractNumId w:val="14"/>
  </w:num>
  <w:num w:numId="9">
    <w:abstractNumId w:val="0"/>
  </w:num>
  <w:num w:numId="10">
    <w:abstractNumId w:val="2"/>
  </w:num>
  <w:num w:numId="11">
    <w:abstractNumId w:val="5"/>
  </w:num>
  <w:num w:numId="12">
    <w:abstractNumId w:val="15"/>
  </w:num>
  <w:num w:numId="13">
    <w:abstractNumId w:val="20"/>
  </w:num>
  <w:num w:numId="14">
    <w:abstractNumId w:val="18"/>
  </w:num>
  <w:num w:numId="15">
    <w:abstractNumId w:val="24"/>
  </w:num>
  <w:num w:numId="16">
    <w:abstractNumId w:val="2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2"/>
  </w:num>
  <w:num w:numId="20">
    <w:abstractNumId w:val="25"/>
  </w:num>
  <w:num w:numId="21">
    <w:abstractNumId w:val="13"/>
  </w:num>
  <w:num w:numId="22">
    <w:abstractNumId w:val="17"/>
  </w:num>
  <w:num w:numId="23">
    <w:abstractNumId w:val="10"/>
  </w:num>
  <w:num w:numId="24">
    <w:abstractNumId w:val="12"/>
  </w:num>
  <w:num w:numId="25">
    <w:abstractNumId w:val="19"/>
  </w:num>
  <w:num w:numId="26">
    <w:abstractNumId w:val="9"/>
  </w:num>
  <w:num w:numId="27">
    <w:abstractNumId w:val="26"/>
  </w:num>
  <w:num w:numId="28">
    <w:abstractNumId w:val="8"/>
  </w:num>
  <w:num w:numId="29">
    <w:abstractNumId w:val="1"/>
  </w:num>
  <w:num w:numId="30">
    <w:abstractNumId w:val="6"/>
  </w:num>
  <w:num w:numId="31">
    <w:abstractNumId w:val="7"/>
  </w:num>
  <w:num w:numId="32">
    <w:abstractNumId w:val="11"/>
  </w:num>
  <w:num w:numId="3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s>
  <w:rsids>
    <w:rsidRoot w:val="007A15AF"/>
    <w:rsid w:val="00003703"/>
    <w:rsid w:val="00007A60"/>
    <w:rsid w:val="00022398"/>
    <w:rsid w:val="00023951"/>
    <w:rsid w:val="00026E1B"/>
    <w:rsid w:val="00036294"/>
    <w:rsid w:val="00036B3A"/>
    <w:rsid w:val="00036E39"/>
    <w:rsid w:val="000403C4"/>
    <w:rsid w:val="00047715"/>
    <w:rsid w:val="0005108F"/>
    <w:rsid w:val="00052EBA"/>
    <w:rsid w:val="000662BC"/>
    <w:rsid w:val="0007116B"/>
    <w:rsid w:val="00072B05"/>
    <w:rsid w:val="00074D1F"/>
    <w:rsid w:val="000822B4"/>
    <w:rsid w:val="00083FC5"/>
    <w:rsid w:val="00092CC3"/>
    <w:rsid w:val="00097C43"/>
    <w:rsid w:val="000A0114"/>
    <w:rsid w:val="000A175A"/>
    <w:rsid w:val="000A3C67"/>
    <w:rsid w:val="000A591C"/>
    <w:rsid w:val="000A5CEE"/>
    <w:rsid w:val="000A7FDA"/>
    <w:rsid w:val="000B4BF4"/>
    <w:rsid w:val="000B5C52"/>
    <w:rsid w:val="000B746F"/>
    <w:rsid w:val="000C3C9B"/>
    <w:rsid w:val="000D40AD"/>
    <w:rsid w:val="000E2E35"/>
    <w:rsid w:val="000E59B0"/>
    <w:rsid w:val="000F14B2"/>
    <w:rsid w:val="000F3ABA"/>
    <w:rsid w:val="000F592D"/>
    <w:rsid w:val="00103343"/>
    <w:rsid w:val="00103565"/>
    <w:rsid w:val="00106B32"/>
    <w:rsid w:val="0011269A"/>
    <w:rsid w:val="00116825"/>
    <w:rsid w:val="00120BB0"/>
    <w:rsid w:val="00120C05"/>
    <w:rsid w:val="00121C44"/>
    <w:rsid w:val="0012768E"/>
    <w:rsid w:val="00131BE5"/>
    <w:rsid w:val="00133752"/>
    <w:rsid w:val="0014338D"/>
    <w:rsid w:val="00146E49"/>
    <w:rsid w:val="00147FA4"/>
    <w:rsid w:val="00152426"/>
    <w:rsid w:val="001543F6"/>
    <w:rsid w:val="00164D19"/>
    <w:rsid w:val="00167273"/>
    <w:rsid w:val="00167FC2"/>
    <w:rsid w:val="00174D01"/>
    <w:rsid w:val="00177695"/>
    <w:rsid w:val="00177A42"/>
    <w:rsid w:val="001821AE"/>
    <w:rsid w:val="00185907"/>
    <w:rsid w:val="001927B6"/>
    <w:rsid w:val="001943B9"/>
    <w:rsid w:val="00195D99"/>
    <w:rsid w:val="001A289D"/>
    <w:rsid w:val="001A7B62"/>
    <w:rsid w:val="001B50E3"/>
    <w:rsid w:val="001B6141"/>
    <w:rsid w:val="001C0684"/>
    <w:rsid w:val="001C0FC2"/>
    <w:rsid w:val="001C3EEE"/>
    <w:rsid w:val="001C6A0B"/>
    <w:rsid w:val="001D09CE"/>
    <w:rsid w:val="001D2081"/>
    <w:rsid w:val="001D2B22"/>
    <w:rsid w:val="001D388F"/>
    <w:rsid w:val="001D68E8"/>
    <w:rsid w:val="001E0E2E"/>
    <w:rsid w:val="001F2106"/>
    <w:rsid w:val="001F7D24"/>
    <w:rsid w:val="00203D14"/>
    <w:rsid w:val="00207D8F"/>
    <w:rsid w:val="00215E93"/>
    <w:rsid w:val="002169E0"/>
    <w:rsid w:val="00220A1A"/>
    <w:rsid w:val="002259BD"/>
    <w:rsid w:val="00230536"/>
    <w:rsid w:val="00234409"/>
    <w:rsid w:val="00241272"/>
    <w:rsid w:val="00244D47"/>
    <w:rsid w:val="00246343"/>
    <w:rsid w:val="002469AD"/>
    <w:rsid w:val="002501A7"/>
    <w:rsid w:val="0026047E"/>
    <w:rsid w:val="00260E8E"/>
    <w:rsid w:val="002619AE"/>
    <w:rsid w:val="002668ED"/>
    <w:rsid w:val="00270BD3"/>
    <w:rsid w:val="00270D71"/>
    <w:rsid w:val="00274896"/>
    <w:rsid w:val="00277D75"/>
    <w:rsid w:val="002803C2"/>
    <w:rsid w:val="00281FF0"/>
    <w:rsid w:val="002831ED"/>
    <w:rsid w:val="002A16E1"/>
    <w:rsid w:val="002A2CD1"/>
    <w:rsid w:val="002A5206"/>
    <w:rsid w:val="002A710D"/>
    <w:rsid w:val="002C07E9"/>
    <w:rsid w:val="002C3158"/>
    <w:rsid w:val="002C3436"/>
    <w:rsid w:val="002C3EFE"/>
    <w:rsid w:val="002C76EE"/>
    <w:rsid w:val="002D22F2"/>
    <w:rsid w:val="002D4115"/>
    <w:rsid w:val="002D5C5C"/>
    <w:rsid w:val="002D71DF"/>
    <w:rsid w:val="002D725C"/>
    <w:rsid w:val="002E018D"/>
    <w:rsid w:val="002E0550"/>
    <w:rsid w:val="002F2DED"/>
    <w:rsid w:val="002F3F5A"/>
    <w:rsid w:val="003002BE"/>
    <w:rsid w:val="003026B0"/>
    <w:rsid w:val="00307DF6"/>
    <w:rsid w:val="0031259A"/>
    <w:rsid w:val="00312B3E"/>
    <w:rsid w:val="00314B98"/>
    <w:rsid w:val="00315D82"/>
    <w:rsid w:val="00316147"/>
    <w:rsid w:val="00324F08"/>
    <w:rsid w:val="00324F30"/>
    <w:rsid w:val="00326141"/>
    <w:rsid w:val="00326960"/>
    <w:rsid w:val="00330AE6"/>
    <w:rsid w:val="00331128"/>
    <w:rsid w:val="0034026E"/>
    <w:rsid w:val="00342991"/>
    <w:rsid w:val="003432AE"/>
    <w:rsid w:val="00343AF4"/>
    <w:rsid w:val="00343F97"/>
    <w:rsid w:val="00350FCF"/>
    <w:rsid w:val="00351088"/>
    <w:rsid w:val="00351457"/>
    <w:rsid w:val="00353785"/>
    <w:rsid w:val="00353AF3"/>
    <w:rsid w:val="00356EC9"/>
    <w:rsid w:val="00360BC1"/>
    <w:rsid w:val="00364B98"/>
    <w:rsid w:val="00370FB7"/>
    <w:rsid w:val="0037346A"/>
    <w:rsid w:val="00375F09"/>
    <w:rsid w:val="0037653B"/>
    <w:rsid w:val="0038267E"/>
    <w:rsid w:val="00383B6A"/>
    <w:rsid w:val="00395EDC"/>
    <w:rsid w:val="00397458"/>
    <w:rsid w:val="003A0F1B"/>
    <w:rsid w:val="003A5F9E"/>
    <w:rsid w:val="003A79F1"/>
    <w:rsid w:val="003B1FE7"/>
    <w:rsid w:val="003B2A21"/>
    <w:rsid w:val="003C55EC"/>
    <w:rsid w:val="003C7385"/>
    <w:rsid w:val="003D10CF"/>
    <w:rsid w:val="003D34B5"/>
    <w:rsid w:val="003D3C87"/>
    <w:rsid w:val="003D488C"/>
    <w:rsid w:val="003D7F39"/>
    <w:rsid w:val="003F1873"/>
    <w:rsid w:val="003F1FBB"/>
    <w:rsid w:val="003F501B"/>
    <w:rsid w:val="00400DC7"/>
    <w:rsid w:val="00401D6A"/>
    <w:rsid w:val="004038D3"/>
    <w:rsid w:val="0040457A"/>
    <w:rsid w:val="004102EB"/>
    <w:rsid w:val="0041148E"/>
    <w:rsid w:val="00413C8D"/>
    <w:rsid w:val="00417F55"/>
    <w:rsid w:val="00423EAE"/>
    <w:rsid w:val="00426472"/>
    <w:rsid w:val="00430771"/>
    <w:rsid w:val="00430BD5"/>
    <w:rsid w:val="00433435"/>
    <w:rsid w:val="00433FA7"/>
    <w:rsid w:val="004353DC"/>
    <w:rsid w:val="00435514"/>
    <w:rsid w:val="00435C7C"/>
    <w:rsid w:val="004436D5"/>
    <w:rsid w:val="00444094"/>
    <w:rsid w:val="004479DD"/>
    <w:rsid w:val="00447AAB"/>
    <w:rsid w:val="00452CA6"/>
    <w:rsid w:val="00453900"/>
    <w:rsid w:val="004619BC"/>
    <w:rsid w:val="00463BD3"/>
    <w:rsid w:val="00480F61"/>
    <w:rsid w:val="00482AD9"/>
    <w:rsid w:val="00491A4B"/>
    <w:rsid w:val="004922E1"/>
    <w:rsid w:val="00494AB7"/>
    <w:rsid w:val="004A1D27"/>
    <w:rsid w:val="004A1DCC"/>
    <w:rsid w:val="004A4B6C"/>
    <w:rsid w:val="004B189F"/>
    <w:rsid w:val="004B6991"/>
    <w:rsid w:val="004B7305"/>
    <w:rsid w:val="004C33AB"/>
    <w:rsid w:val="004C4176"/>
    <w:rsid w:val="004C41FF"/>
    <w:rsid w:val="004D0F2F"/>
    <w:rsid w:val="004D1736"/>
    <w:rsid w:val="004D2557"/>
    <w:rsid w:val="004D2DAA"/>
    <w:rsid w:val="004E2ADA"/>
    <w:rsid w:val="004E35CD"/>
    <w:rsid w:val="004F08B9"/>
    <w:rsid w:val="004F4EBD"/>
    <w:rsid w:val="004F7DC4"/>
    <w:rsid w:val="00500562"/>
    <w:rsid w:val="005039B3"/>
    <w:rsid w:val="005046CA"/>
    <w:rsid w:val="00504F1E"/>
    <w:rsid w:val="00507AAE"/>
    <w:rsid w:val="00510691"/>
    <w:rsid w:val="00512254"/>
    <w:rsid w:val="005135C2"/>
    <w:rsid w:val="00514CC4"/>
    <w:rsid w:val="005176DE"/>
    <w:rsid w:val="00517850"/>
    <w:rsid w:val="00517A91"/>
    <w:rsid w:val="00517ACA"/>
    <w:rsid w:val="00520B23"/>
    <w:rsid w:val="00522353"/>
    <w:rsid w:val="00525F15"/>
    <w:rsid w:val="005264E6"/>
    <w:rsid w:val="00530282"/>
    <w:rsid w:val="00530C99"/>
    <w:rsid w:val="00532976"/>
    <w:rsid w:val="00540124"/>
    <w:rsid w:val="00542ADE"/>
    <w:rsid w:val="00544A4B"/>
    <w:rsid w:val="005521FB"/>
    <w:rsid w:val="005655C7"/>
    <w:rsid w:val="00567CBC"/>
    <w:rsid w:val="00572AE2"/>
    <w:rsid w:val="005733E6"/>
    <w:rsid w:val="00575D86"/>
    <w:rsid w:val="005817F5"/>
    <w:rsid w:val="00582027"/>
    <w:rsid w:val="00582D29"/>
    <w:rsid w:val="005903B5"/>
    <w:rsid w:val="00593385"/>
    <w:rsid w:val="00594F78"/>
    <w:rsid w:val="00595ED8"/>
    <w:rsid w:val="00597B58"/>
    <w:rsid w:val="005A1788"/>
    <w:rsid w:val="005A668E"/>
    <w:rsid w:val="005B018F"/>
    <w:rsid w:val="005B129A"/>
    <w:rsid w:val="005B64EF"/>
    <w:rsid w:val="005B7538"/>
    <w:rsid w:val="005B76E7"/>
    <w:rsid w:val="005C3D5D"/>
    <w:rsid w:val="005C54ED"/>
    <w:rsid w:val="005C6587"/>
    <w:rsid w:val="005D37E3"/>
    <w:rsid w:val="005E4708"/>
    <w:rsid w:val="005E571E"/>
    <w:rsid w:val="005E69FA"/>
    <w:rsid w:val="005E6E44"/>
    <w:rsid w:val="005F6532"/>
    <w:rsid w:val="00602C8B"/>
    <w:rsid w:val="00603F99"/>
    <w:rsid w:val="0060642A"/>
    <w:rsid w:val="0060753E"/>
    <w:rsid w:val="006126A3"/>
    <w:rsid w:val="00613EFB"/>
    <w:rsid w:val="006145BD"/>
    <w:rsid w:val="006150F0"/>
    <w:rsid w:val="00615D1C"/>
    <w:rsid w:val="006163D8"/>
    <w:rsid w:val="0062487C"/>
    <w:rsid w:val="00632624"/>
    <w:rsid w:val="00633D51"/>
    <w:rsid w:val="00636205"/>
    <w:rsid w:val="00641B3F"/>
    <w:rsid w:val="00644769"/>
    <w:rsid w:val="00644FF1"/>
    <w:rsid w:val="00650F72"/>
    <w:rsid w:val="00653278"/>
    <w:rsid w:val="00653367"/>
    <w:rsid w:val="0066082B"/>
    <w:rsid w:val="0066559D"/>
    <w:rsid w:val="00670B9D"/>
    <w:rsid w:val="00674484"/>
    <w:rsid w:val="00674D45"/>
    <w:rsid w:val="0067620C"/>
    <w:rsid w:val="006803F5"/>
    <w:rsid w:val="00684683"/>
    <w:rsid w:val="00690544"/>
    <w:rsid w:val="006947E7"/>
    <w:rsid w:val="00694CB9"/>
    <w:rsid w:val="00695B6B"/>
    <w:rsid w:val="00696562"/>
    <w:rsid w:val="006A0743"/>
    <w:rsid w:val="006A4E6F"/>
    <w:rsid w:val="006A530D"/>
    <w:rsid w:val="006A6A68"/>
    <w:rsid w:val="006B4661"/>
    <w:rsid w:val="006B73F0"/>
    <w:rsid w:val="006C608C"/>
    <w:rsid w:val="006D0417"/>
    <w:rsid w:val="006D11CE"/>
    <w:rsid w:val="006D67AE"/>
    <w:rsid w:val="006E108A"/>
    <w:rsid w:val="006E5B18"/>
    <w:rsid w:val="006E7B5C"/>
    <w:rsid w:val="006F172B"/>
    <w:rsid w:val="006F4918"/>
    <w:rsid w:val="006F492F"/>
    <w:rsid w:val="00700506"/>
    <w:rsid w:val="007009EA"/>
    <w:rsid w:val="00700A74"/>
    <w:rsid w:val="00705089"/>
    <w:rsid w:val="00712AA9"/>
    <w:rsid w:val="0072354F"/>
    <w:rsid w:val="00724335"/>
    <w:rsid w:val="007262FE"/>
    <w:rsid w:val="00730FC8"/>
    <w:rsid w:val="007335C9"/>
    <w:rsid w:val="00743A05"/>
    <w:rsid w:val="00743B9E"/>
    <w:rsid w:val="007506B0"/>
    <w:rsid w:val="0075073B"/>
    <w:rsid w:val="00752BBC"/>
    <w:rsid w:val="00760A8A"/>
    <w:rsid w:val="00762A4C"/>
    <w:rsid w:val="00762BC9"/>
    <w:rsid w:val="0076407A"/>
    <w:rsid w:val="00764895"/>
    <w:rsid w:val="007707D1"/>
    <w:rsid w:val="00771C32"/>
    <w:rsid w:val="00776F3D"/>
    <w:rsid w:val="00783325"/>
    <w:rsid w:val="00790561"/>
    <w:rsid w:val="00791B75"/>
    <w:rsid w:val="007922A3"/>
    <w:rsid w:val="007938A3"/>
    <w:rsid w:val="00794C3D"/>
    <w:rsid w:val="0079549C"/>
    <w:rsid w:val="007A15AF"/>
    <w:rsid w:val="007A26F2"/>
    <w:rsid w:val="007A5C0F"/>
    <w:rsid w:val="007A6695"/>
    <w:rsid w:val="007B2949"/>
    <w:rsid w:val="007B49C0"/>
    <w:rsid w:val="007B703F"/>
    <w:rsid w:val="007B7185"/>
    <w:rsid w:val="007B75F3"/>
    <w:rsid w:val="007B7942"/>
    <w:rsid w:val="007B7A2F"/>
    <w:rsid w:val="007C19ED"/>
    <w:rsid w:val="007C3338"/>
    <w:rsid w:val="007C36AB"/>
    <w:rsid w:val="007C6C05"/>
    <w:rsid w:val="007D691C"/>
    <w:rsid w:val="007E13E0"/>
    <w:rsid w:val="007E373F"/>
    <w:rsid w:val="007E66B4"/>
    <w:rsid w:val="00800F98"/>
    <w:rsid w:val="00802431"/>
    <w:rsid w:val="008042B5"/>
    <w:rsid w:val="0080762D"/>
    <w:rsid w:val="008103B1"/>
    <w:rsid w:val="008134A3"/>
    <w:rsid w:val="008138A2"/>
    <w:rsid w:val="00813D80"/>
    <w:rsid w:val="00814EE0"/>
    <w:rsid w:val="008154DA"/>
    <w:rsid w:val="00815B1D"/>
    <w:rsid w:val="00820C29"/>
    <w:rsid w:val="0082439C"/>
    <w:rsid w:val="0083021F"/>
    <w:rsid w:val="00832B28"/>
    <w:rsid w:val="008427D6"/>
    <w:rsid w:val="00842D4B"/>
    <w:rsid w:val="00844000"/>
    <w:rsid w:val="00845139"/>
    <w:rsid w:val="00845FEF"/>
    <w:rsid w:val="00846B89"/>
    <w:rsid w:val="00847D24"/>
    <w:rsid w:val="00851461"/>
    <w:rsid w:val="00851D8B"/>
    <w:rsid w:val="00853A26"/>
    <w:rsid w:val="00856281"/>
    <w:rsid w:val="00862C05"/>
    <w:rsid w:val="008638F8"/>
    <w:rsid w:val="0087124D"/>
    <w:rsid w:val="00872F50"/>
    <w:rsid w:val="00876204"/>
    <w:rsid w:val="00885220"/>
    <w:rsid w:val="00892863"/>
    <w:rsid w:val="00896CA2"/>
    <w:rsid w:val="00897F9C"/>
    <w:rsid w:val="008A4EA4"/>
    <w:rsid w:val="008A6793"/>
    <w:rsid w:val="008B1403"/>
    <w:rsid w:val="008B1F56"/>
    <w:rsid w:val="008B2DF8"/>
    <w:rsid w:val="008B2FEF"/>
    <w:rsid w:val="008B424B"/>
    <w:rsid w:val="008B4676"/>
    <w:rsid w:val="008B6EDA"/>
    <w:rsid w:val="008C19E2"/>
    <w:rsid w:val="008C28FE"/>
    <w:rsid w:val="008C7C5A"/>
    <w:rsid w:val="008D4577"/>
    <w:rsid w:val="008D579C"/>
    <w:rsid w:val="008D594F"/>
    <w:rsid w:val="008E0558"/>
    <w:rsid w:val="008E2DD3"/>
    <w:rsid w:val="008F2FAA"/>
    <w:rsid w:val="008F3FFB"/>
    <w:rsid w:val="00900681"/>
    <w:rsid w:val="00901C60"/>
    <w:rsid w:val="009021F6"/>
    <w:rsid w:val="0091000A"/>
    <w:rsid w:val="00912C01"/>
    <w:rsid w:val="00914847"/>
    <w:rsid w:val="009158F4"/>
    <w:rsid w:val="0092295D"/>
    <w:rsid w:val="009245E9"/>
    <w:rsid w:val="009276AE"/>
    <w:rsid w:val="009307D1"/>
    <w:rsid w:val="00931D38"/>
    <w:rsid w:val="00934512"/>
    <w:rsid w:val="00934DA2"/>
    <w:rsid w:val="00944A23"/>
    <w:rsid w:val="0095246B"/>
    <w:rsid w:val="0095583E"/>
    <w:rsid w:val="009650A0"/>
    <w:rsid w:val="009700DC"/>
    <w:rsid w:val="00970D5A"/>
    <w:rsid w:val="0097164E"/>
    <w:rsid w:val="00971D0D"/>
    <w:rsid w:val="00986990"/>
    <w:rsid w:val="0098699C"/>
    <w:rsid w:val="00986FE1"/>
    <w:rsid w:val="00992A20"/>
    <w:rsid w:val="00994BAB"/>
    <w:rsid w:val="00994CA5"/>
    <w:rsid w:val="0099630E"/>
    <w:rsid w:val="009A0C54"/>
    <w:rsid w:val="009A2527"/>
    <w:rsid w:val="009A6CA5"/>
    <w:rsid w:val="009A705E"/>
    <w:rsid w:val="009B0FB7"/>
    <w:rsid w:val="009B5DEF"/>
    <w:rsid w:val="009C1A42"/>
    <w:rsid w:val="009C2E04"/>
    <w:rsid w:val="009C799A"/>
    <w:rsid w:val="009D46DB"/>
    <w:rsid w:val="009E0C40"/>
    <w:rsid w:val="009E29DA"/>
    <w:rsid w:val="009E7EC9"/>
    <w:rsid w:val="009F1370"/>
    <w:rsid w:val="009F25A8"/>
    <w:rsid w:val="009F2A9E"/>
    <w:rsid w:val="009F5E59"/>
    <w:rsid w:val="00A02588"/>
    <w:rsid w:val="00A04EFF"/>
    <w:rsid w:val="00A05C3B"/>
    <w:rsid w:val="00A134F6"/>
    <w:rsid w:val="00A20152"/>
    <w:rsid w:val="00A214FB"/>
    <w:rsid w:val="00A257C5"/>
    <w:rsid w:val="00A30D78"/>
    <w:rsid w:val="00A33AD1"/>
    <w:rsid w:val="00A3674C"/>
    <w:rsid w:val="00A402D8"/>
    <w:rsid w:val="00A431E8"/>
    <w:rsid w:val="00A43EC3"/>
    <w:rsid w:val="00A4701E"/>
    <w:rsid w:val="00A477FB"/>
    <w:rsid w:val="00A50018"/>
    <w:rsid w:val="00A5303F"/>
    <w:rsid w:val="00A57FB9"/>
    <w:rsid w:val="00A63077"/>
    <w:rsid w:val="00A63614"/>
    <w:rsid w:val="00A63912"/>
    <w:rsid w:val="00A63AE5"/>
    <w:rsid w:val="00A74928"/>
    <w:rsid w:val="00A81F3A"/>
    <w:rsid w:val="00A83E69"/>
    <w:rsid w:val="00A874DC"/>
    <w:rsid w:val="00A93C54"/>
    <w:rsid w:val="00A9508A"/>
    <w:rsid w:val="00A97389"/>
    <w:rsid w:val="00AA03A9"/>
    <w:rsid w:val="00AA050F"/>
    <w:rsid w:val="00AA07CB"/>
    <w:rsid w:val="00AA1401"/>
    <w:rsid w:val="00AA36A6"/>
    <w:rsid w:val="00AB0646"/>
    <w:rsid w:val="00AB16A2"/>
    <w:rsid w:val="00AC104A"/>
    <w:rsid w:val="00AC2719"/>
    <w:rsid w:val="00AC2ABF"/>
    <w:rsid w:val="00AC6AA0"/>
    <w:rsid w:val="00AC70D0"/>
    <w:rsid w:val="00AE2378"/>
    <w:rsid w:val="00AE2636"/>
    <w:rsid w:val="00AE27F9"/>
    <w:rsid w:val="00AE4F8A"/>
    <w:rsid w:val="00AF259B"/>
    <w:rsid w:val="00AF27A6"/>
    <w:rsid w:val="00AF2FE3"/>
    <w:rsid w:val="00AF516C"/>
    <w:rsid w:val="00AF6983"/>
    <w:rsid w:val="00B00BEB"/>
    <w:rsid w:val="00B04DC2"/>
    <w:rsid w:val="00B07147"/>
    <w:rsid w:val="00B1030D"/>
    <w:rsid w:val="00B10724"/>
    <w:rsid w:val="00B16A08"/>
    <w:rsid w:val="00B21AB5"/>
    <w:rsid w:val="00B221FA"/>
    <w:rsid w:val="00B231BA"/>
    <w:rsid w:val="00B2402B"/>
    <w:rsid w:val="00B244D6"/>
    <w:rsid w:val="00B343E3"/>
    <w:rsid w:val="00B44486"/>
    <w:rsid w:val="00B45167"/>
    <w:rsid w:val="00B53369"/>
    <w:rsid w:val="00B60426"/>
    <w:rsid w:val="00B6226E"/>
    <w:rsid w:val="00B67821"/>
    <w:rsid w:val="00B67C67"/>
    <w:rsid w:val="00B72250"/>
    <w:rsid w:val="00B77F38"/>
    <w:rsid w:val="00B80776"/>
    <w:rsid w:val="00B812B1"/>
    <w:rsid w:val="00B84150"/>
    <w:rsid w:val="00B8457E"/>
    <w:rsid w:val="00B92BC1"/>
    <w:rsid w:val="00B92E7D"/>
    <w:rsid w:val="00B9392F"/>
    <w:rsid w:val="00BA0BA2"/>
    <w:rsid w:val="00BA2025"/>
    <w:rsid w:val="00BA2D3C"/>
    <w:rsid w:val="00BA3EF6"/>
    <w:rsid w:val="00BA5476"/>
    <w:rsid w:val="00BA66F7"/>
    <w:rsid w:val="00BB0DBE"/>
    <w:rsid w:val="00BB18AA"/>
    <w:rsid w:val="00BC0E4E"/>
    <w:rsid w:val="00BC6499"/>
    <w:rsid w:val="00BC7054"/>
    <w:rsid w:val="00BC7B19"/>
    <w:rsid w:val="00BD296D"/>
    <w:rsid w:val="00BD39A3"/>
    <w:rsid w:val="00BD620A"/>
    <w:rsid w:val="00BD62DD"/>
    <w:rsid w:val="00BF08A4"/>
    <w:rsid w:val="00BF11FD"/>
    <w:rsid w:val="00BF1B76"/>
    <w:rsid w:val="00BF4FBC"/>
    <w:rsid w:val="00BF6DBB"/>
    <w:rsid w:val="00C02990"/>
    <w:rsid w:val="00C054BA"/>
    <w:rsid w:val="00C101B7"/>
    <w:rsid w:val="00C15C1D"/>
    <w:rsid w:val="00C167DC"/>
    <w:rsid w:val="00C22D77"/>
    <w:rsid w:val="00C22E86"/>
    <w:rsid w:val="00C25C44"/>
    <w:rsid w:val="00C25E1B"/>
    <w:rsid w:val="00C2628D"/>
    <w:rsid w:val="00C26E2D"/>
    <w:rsid w:val="00C3378C"/>
    <w:rsid w:val="00C3593F"/>
    <w:rsid w:val="00C42AE1"/>
    <w:rsid w:val="00C4597D"/>
    <w:rsid w:val="00C47A12"/>
    <w:rsid w:val="00C52156"/>
    <w:rsid w:val="00C5698A"/>
    <w:rsid w:val="00C62FA4"/>
    <w:rsid w:val="00C64F48"/>
    <w:rsid w:val="00C72C7E"/>
    <w:rsid w:val="00C75BAF"/>
    <w:rsid w:val="00C77B42"/>
    <w:rsid w:val="00C81571"/>
    <w:rsid w:val="00C85310"/>
    <w:rsid w:val="00C9045F"/>
    <w:rsid w:val="00C920DB"/>
    <w:rsid w:val="00C96F52"/>
    <w:rsid w:val="00C97A82"/>
    <w:rsid w:val="00CA2F73"/>
    <w:rsid w:val="00CA74D6"/>
    <w:rsid w:val="00CB2708"/>
    <w:rsid w:val="00CB3FBA"/>
    <w:rsid w:val="00CB4C56"/>
    <w:rsid w:val="00CC0714"/>
    <w:rsid w:val="00CD0D3E"/>
    <w:rsid w:val="00CD4A39"/>
    <w:rsid w:val="00CF02FD"/>
    <w:rsid w:val="00CF40FE"/>
    <w:rsid w:val="00CF5816"/>
    <w:rsid w:val="00CF793B"/>
    <w:rsid w:val="00D011E2"/>
    <w:rsid w:val="00D01365"/>
    <w:rsid w:val="00D07D6E"/>
    <w:rsid w:val="00D178CC"/>
    <w:rsid w:val="00D21079"/>
    <w:rsid w:val="00D21B46"/>
    <w:rsid w:val="00D27EAC"/>
    <w:rsid w:val="00D3035F"/>
    <w:rsid w:val="00D3158F"/>
    <w:rsid w:val="00D3313C"/>
    <w:rsid w:val="00D346FE"/>
    <w:rsid w:val="00D3652F"/>
    <w:rsid w:val="00D37786"/>
    <w:rsid w:val="00D4245C"/>
    <w:rsid w:val="00D43B13"/>
    <w:rsid w:val="00D45405"/>
    <w:rsid w:val="00D473B7"/>
    <w:rsid w:val="00D54EAC"/>
    <w:rsid w:val="00D573E5"/>
    <w:rsid w:val="00D6010B"/>
    <w:rsid w:val="00D60392"/>
    <w:rsid w:val="00D61BA4"/>
    <w:rsid w:val="00D63293"/>
    <w:rsid w:val="00D72544"/>
    <w:rsid w:val="00D75F0A"/>
    <w:rsid w:val="00D77F8B"/>
    <w:rsid w:val="00D809E2"/>
    <w:rsid w:val="00D815CE"/>
    <w:rsid w:val="00D822BA"/>
    <w:rsid w:val="00D85EE0"/>
    <w:rsid w:val="00D9423B"/>
    <w:rsid w:val="00D947AD"/>
    <w:rsid w:val="00D94B1E"/>
    <w:rsid w:val="00D94C43"/>
    <w:rsid w:val="00D96130"/>
    <w:rsid w:val="00DA1CAC"/>
    <w:rsid w:val="00DA23D1"/>
    <w:rsid w:val="00DA761A"/>
    <w:rsid w:val="00DB560E"/>
    <w:rsid w:val="00DC3951"/>
    <w:rsid w:val="00DC6C06"/>
    <w:rsid w:val="00DC78A5"/>
    <w:rsid w:val="00DD1C8B"/>
    <w:rsid w:val="00DD2BFC"/>
    <w:rsid w:val="00DD307D"/>
    <w:rsid w:val="00DD33EF"/>
    <w:rsid w:val="00DD3646"/>
    <w:rsid w:val="00DE0283"/>
    <w:rsid w:val="00DE3B3F"/>
    <w:rsid w:val="00DE455E"/>
    <w:rsid w:val="00DE522E"/>
    <w:rsid w:val="00DE606A"/>
    <w:rsid w:val="00DE6CEC"/>
    <w:rsid w:val="00DE7F12"/>
    <w:rsid w:val="00E004F7"/>
    <w:rsid w:val="00E02AE9"/>
    <w:rsid w:val="00E059B2"/>
    <w:rsid w:val="00E132F4"/>
    <w:rsid w:val="00E139B0"/>
    <w:rsid w:val="00E14A77"/>
    <w:rsid w:val="00E160DD"/>
    <w:rsid w:val="00E1708F"/>
    <w:rsid w:val="00E17758"/>
    <w:rsid w:val="00E20E5D"/>
    <w:rsid w:val="00E215B7"/>
    <w:rsid w:val="00E219A5"/>
    <w:rsid w:val="00E253D1"/>
    <w:rsid w:val="00E30D3E"/>
    <w:rsid w:val="00E35497"/>
    <w:rsid w:val="00E51B8A"/>
    <w:rsid w:val="00E52016"/>
    <w:rsid w:val="00E552E3"/>
    <w:rsid w:val="00E561A6"/>
    <w:rsid w:val="00E63B10"/>
    <w:rsid w:val="00E66DFA"/>
    <w:rsid w:val="00E728E6"/>
    <w:rsid w:val="00E74DF5"/>
    <w:rsid w:val="00E75562"/>
    <w:rsid w:val="00E83579"/>
    <w:rsid w:val="00E86554"/>
    <w:rsid w:val="00E9185E"/>
    <w:rsid w:val="00E959FD"/>
    <w:rsid w:val="00EA0639"/>
    <w:rsid w:val="00EA080E"/>
    <w:rsid w:val="00EA252B"/>
    <w:rsid w:val="00EA32AE"/>
    <w:rsid w:val="00EA44EB"/>
    <w:rsid w:val="00EB2060"/>
    <w:rsid w:val="00EB66EE"/>
    <w:rsid w:val="00EB6AB2"/>
    <w:rsid w:val="00EB7C03"/>
    <w:rsid w:val="00EC1D1F"/>
    <w:rsid w:val="00EC252A"/>
    <w:rsid w:val="00EC5B28"/>
    <w:rsid w:val="00ED0EE1"/>
    <w:rsid w:val="00ED45CD"/>
    <w:rsid w:val="00EE124D"/>
    <w:rsid w:val="00EE31EB"/>
    <w:rsid w:val="00EE68A7"/>
    <w:rsid w:val="00EF1EF3"/>
    <w:rsid w:val="00EF2BD4"/>
    <w:rsid w:val="00EF35C2"/>
    <w:rsid w:val="00EF4CB8"/>
    <w:rsid w:val="00F04D06"/>
    <w:rsid w:val="00F0607D"/>
    <w:rsid w:val="00F10D8A"/>
    <w:rsid w:val="00F11298"/>
    <w:rsid w:val="00F122C9"/>
    <w:rsid w:val="00F1360F"/>
    <w:rsid w:val="00F1419B"/>
    <w:rsid w:val="00F15592"/>
    <w:rsid w:val="00F16937"/>
    <w:rsid w:val="00F239D7"/>
    <w:rsid w:val="00F25EE3"/>
    <w:rsid w:val="00F3158D"/>
    <w:rsid w:val="00F33A27"/>
    <w:rsid w:val="00F34296"/>
    <w:rsid w:val="00F3461A"/>
    <w:rsid w:val="00F5510D"/>
    <w:rsid w:val="00F568EB"/>
    <w:rsid w:val="00F60207"/>
    <w:rsid w:val="00F63872"/>
    <w:rsid w:val="00F76C95"/>
    <w:rsid w:val="00F77357"/>
    <w:rsid w:val="00F7761F"/>
    <w:rsid w:val="00F80AA3"/>
    <w:rsid w:val="00F83F31"/>
    <w:rsid w:val="00F855DC"/>
    <w:rsid w:val="00F8626C"/>
    <w:rsid w:val="00F90686"/>
    <w:rsid w:val="00F91F07"/>
    <w:rsid w:val="00F963C1"/>
    <w:rsid w:val="00F967D2"/>
    <w:rsid w:val="00FA0CEC"/>
    <w:rsid w:val="00FB402C"/>
    <w:rsid w:val="00FB574A"/>
    <w:rsid w:val="00FB6F33"/>
    <w:rsid w:val="00FC56E9"/>
    <w:rsid w:val="00FC7D2F"/>
    <w:rsid w:val="00FD405B"/>
    <w:rsid w:val="00FE11E7"/>
    <w:rsid w:val="00FE21E2"/>
    <w:rsid w:val="00FE2719"/>
    <w:rsid w:val="00FE6AC7"/>
    <w:rsid w:val="00FE74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0132A1D"/>
  <w15:docId w15:val="{66A5E1E0-46FD-45CE-AA63-5BFA65F6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26E"/>
    <w:pPr>
      <w:jc w:val="both"/>
    </w:pPr>
    <w:rPr>
      <w:sz w:val="22"/>
    </w:rPr>
  </w:style>
  <w:style w:type="paragraph" w:styleId="Titre1">
    <w:name w:val="heading 1"/>
    <w:basedOn w:val="Normal"/>
    <w:next w:val="Normal"/>
    <w:qFormat/>
    <w:rsid w:val="0034026E"/>
    <w:pPr>
      <w:keepNext/>
      <w:numPr>
        <w:numId w:val="1"/>
      </w:numPr>
      <w:spacing w:before="480" w:after="240"/>
      <w:ind w:left="454" w:hanging="454"/>
      <w:jc w:val="left"/>
      <w:outlineLvl w:val="0"/>
    </w:pPr>
    <w:rPr>
      <w:rFonts w:ascii="Arial" w:hAnsi="Arial"/>
      <w:b/>
      <w:sz w:val="36"/>
    </w:rPr>
  </w:style>
  <w:style w:type="paragraph" w:styleId="Titre2">
    <w:name w:val="heading 2"/>
    <w:basedOn w:val="Titre1"/>
    <w:next w:val="Normal"/>
    <w:qFormat/>
    <w:rsid w:val="0034026E"/>
    <w:pPr>
      <w:numPr>
        <w:ilvl w:val="1"/>
        <w:numId w:val="2"/>
      </w:numPr>
      <w:spacing w:before="360" w:after="120"/>
      <w:ind w:left="624" w:hanging="624"/>
      <w:outlineLvl w:val="1"/>
    </w:pPr>
    <w:rPr>
      <w:b w:val="0"/>
      <w:sz w:val="32"/>
    </w:rPr>
  </w:style>
  <w:style w:type="paragraph" w:styleId="Titre3">
    <w:name w:val="heading 3"/>
    <w:basedOn w:val="Titre2"/>
    <w:next w:val="Normal"/>
    <w:qFormat/>
    <w:rsid w:val="0034026E"/>
    <w:pPr>
      <w:numPr>
        <w:ilvl w:val="2"/>
        <w:numId w:val="3"/>
      </w:numPr>
      <w:ind w:left="680" w:hanging="680"/>
      <w:outlineLvl w:val="2"/>
    </w:pPr>
    <w:rPr>
      <w:b/>
      <w:sz w:val="24"/>
    </w:rPr>
  </w:style>
  <w:style w:type="paragraph" w:styleId="Titre4">
    <w:name w:val="heading 4"/>
    <w:basedOn w:val="Titre3"/>
    <w:next w:val="Normal"/>
    <w:qFormat/>
    <w:rsid w:val="0034026E"/>
    <w:pPr>
      <w:numPr>
        <w:ilvl w:val="3"/>
        <w:numId w:val="4"/>
      </w:numPr>
      <w:spacing w:before="240"/>
      <w:ind w:left="794" w:hanging="794"/>
      <w:outlineLvl w:val="3"/>
    </w:pPr>
    <w:rPr>
      <w:b w:val="0"/>
      <w:sz w:val="22"/>
    </w:rPr>
  </w:style>
  <w:style w:type="paragraph" w:styleId="Titre5">
    <w:name w:val="heading 5"/>
    <w:basedOn w:val="Titre4"/>
    <w:qFormat/>
    <w:rsid w:val="0034026E"/>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34026E"/>
    <w:rPr>
      <w:rFonts w:ascii="Times New Roman" w:hAnsi="Times New Roman"/>
      <w:position w:val="6"/>
      <w:sz w:val="12"/>
      <w:bdr w:val="none" w:sz="0" w:space="0" w:color="auto"/>
    </w:rPr>
  </w:style>
  <w:style w:type="paragraph" w:styleId="En-tte">
    <w:name w:val="header"/>
    <w:basedOn w:val="Normal"/>
    <w:rsid w:val="0034026E"/>
    <w:pPr>
      <w:pBdr>
        <w:bottom w:val="single" w:sz="6" w:space="2" w:color="auto"/>
      </w:pBdr>
      <w:tabs>
        <w:tab w:val="right" w:pos="8222"/>
      </w:tabs>
    </w:pPr>
    <w:rPr>
      <w:sz w:val="18"/>
    </w:rPr>
  </w:style>
  <w:style w:type="paragraph" w:styleId="Notedebasdepage">
    <w:name w:val="footnote text"/>
    <w:basedOn w:val="Normal"/>
    <w:semiHidden/>
    <w:rsid w:val="0034026E"/>
    <w:pPr>
      <w:spacing w:before="40" w:after="40"/>
      <w:ind w:left="170" w:right="851" w:hanging="170"/>
    </w:pPr>
    <w:rPr>
      <w:sz w:val="16"/>
    </w:rPr>
  </w:style>
  <w:style w:type="paragraph" w:styleId="Pieddepage">
    <w:name w:val="footer"/>
    <w:basedOn w:val="Normal"/>
    <w:rsid w:val="0034026E"/>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34026E"/>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uiPriority w:val="39"/>
    <w:rsid w:val="0034026E"/>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uiPriority w:val="39"/>
    <w:rsid w:val="0034026E"/>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uiPriority w:val="39"/>
    <w:rsid w:val="0034026E"/>
    <w:pPr>
      <w:tabs>
        <w:tab w:val="right" w:leader="dot" w:pos="8222"/>
      </w:tabs>
      <w:spacing w:after="60"/>
      <w:ind w:left="2552" w:right="851" w:hanging="624"/>
      <w:jc w:val="left"/>
    </w:pPr>
    <w:rPr>
      <w:sz w:val="20"/>
    </w:rPr>
  </w:style>
  <w:style w:type="paragraph" w:styleId="TM5">
    <w:name w:val="toc 5"/>
    <w:basedOn w:val="Normal"/>
    <w:next w:val="Normal"/>
    <w:autoRedefine/>
    <w:semiHidden/>
    <w:rsid w:val="0034026E"/>
    <w:pPr>
      <w:tabs>
        <w:tab w:val="right" w:leader="dot" w:pos="8222"/>
      </w:tabs>
      <w:ind w:left="2381" w:right="851" w:hanging="113"/>
      <w:jc w:val="left"/>
    </w:pPr>
    <w:rPr>
      <w:sz w:val="20"/>
    </w:rPr>
  </w:style>
  <w:style w:type="paragraph" w:styleId="Lgende">
    <w:name w:val="caption"/>
    <w:basedOn w:val="Normal"/>
    <w:next w:val="Normal"/>
    <w:qFormat/>
    <w:rsid w:val="0034026E"/>
    <w:rPr>
      <w:rFonts w:ascii="Arial" w:hAnsi="Arial"/>
      <w:b/>
      <w:sz w:val="20"/>
    </w:rPr>
  </w:style>
  <w:style w:type="character" w:styleId="Numrodepage">
    <w:name w:val="page number"/>
    <w:basedOn w:val="Policepardfaut"/>
    <w:rsid w:val="004B189F"/>
  </w:style>
  <w:style w:type="paragraph" w:customStyle="1" w:styleId="Entte">
    <w:name w:val="Entête"/>
    <w:basedOn w:val="Normal"/>
    <w:rsid w:val="00A33AD1"/>
    <w:pPr>
      <w:pBdr>
        <w:bottom w:val="single" w:sz="6" w:space="2" w:color="auto"/>
      </w:pBdr>
      <w:spacing w:before="120"/>
      <w:jc w:val="center"/>
    </w:pPr>
    <w:rPr>
      <w:rFonts w:ascii="Arial" w:hAnsi="Arial"/>
      <w:b/>
      <w:sz w:val="20"/>
    </w:rPr>
  </w:style>
  <w:style w:type="paragraph" w:customStyle="1" w:styleId="Pieddepageimpaire">
    <w:name w:val="Pied de page impaire"/>
    <w:basedOn w:val="Normal"/>
    <w:rsid w:val="00A33AD1"/>
    <w:pPr>
      <w:pBdr>
        <w:top w:val="single" w:sz="6" w:space="2" w:color="auto"/>
      </w:pBdr>
      <w:jc w:val="left"/>
    </w:pPr>
    <w:rPr>
      <w:rFonts w:ascii="Arial" w:hAnsi="Arial"/>
      <w:i/>
      <w:sz w:val="16"/>
    </w:rPr>
  </w:style>
  <w:style w:type="paragraph" w:customStyle="1" w:styleId="Chapeau1">
    <w:name w:val="Chapeau1"/>
    <w:basedOn w:val="Normal"/>
    <w:next w:val="Chapeau2"/>
    <w:rsid w:val="00A33AD1"/>
    <w:pPr>
      <w:spacing w:before="960" w:after="120"/>
      <w:jc w:val="center"/>
    </w:pPr>
    <w:rPr>
      <w:rFonts w:ascii="Arial" w:hAnsi="Arial"/>
      <w:b/>
      <w:sz w:val="32"/>
    </w:rPr>
  </w:style>
  <w:style w:type="paragraph" w:customStyle="1" w:styleId="Chapeau2">
    <w:name w:val="Chapeau2"/>
    <w:basedOn w:val="Normal"/>
    <w:next w:val="Titre1"/>
    <w:rsid w:val="00A33AD1"/>
    <w:pPr>
      <w:spacing w:before="120" w:after="240"/>
      <w:jc w:val="center"/>
      <w:outlineLvl w:val="0"/>
    </w:pPr>
    <w:rPr>
      <w:rFonts w:ascii="Arial" w:hAnsi="Arial"/>
      <w:b/>
      <w:sz w:val="32"/>
    </w:rPr>
  </w:style>
  <w:style w:type="paragraph" w:styleId="Retraitcorpsdetexte2">
    <w:name w:val="Body Text Indent 2"/>
    <w:basedOn w:val="Normal"/>
    <w:link w:val="Retraitcorpsdetexte2Car"/>
    <w:rsid w:val="00A33AD1"/>
    <w:pPr>
      <w:spacing w:before="120"/>
      <w:ind w:left="1701"/>
    </w:pPr>
    <w:rPr>
      <w:b/>
    </w:rPr>
  </w:style>
  <w:style w:type="paragraph" w:styleId="Retraitcorpsdetexte3">
    <w:name w:val="Body Text Indent 3"/>
    <w:basedOn w:val="Normal"/>
    <w:rsid w:val="00A33AD1"/>
    <w:pPr>
      <w:ind w:left="1701"/>
    </w:pPr>
  </w:style>
  <w:style w:type="table" w:styleId="Grilledutableau">
    <w:name w:val="Table Grid"/>
    <w:basedOn w:val="TableauNormal"/>
    <w:rsid w:val="00A33AD1"/>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date">
    <w:name w:val="adresse-date"/>
    <w:basedOn w:val="Normal"/>
    <w:rsid w:val="00A33AD1"/>
    <w:pPr>
      <w:spacing w:before="240"/>
    </w:pPr>
    <w:rPr>
      <w:rFonts w:ascii="Arial" w:hAnsi="Arial"/>
    </w:rPr>
  </w:style>
  <w:style w:type="paragraph" w:customStyle="1" w:styleId="tableau">
    <w:name w:val="tableau"/>
    <w:basedOn w:val="Normal"/>
    <w:rsid w:val="00A33AD1"/>
    <w:pPr>
      <w:spacing w:before="40" w:after="40"/>
      <w:jc w:val="center"/>
    </w:pPr>
    <w:rPr>
      <w:rFonts w:ascii="Arial" w:hAnsi="Arial"/>
      <w:sz w:val="18"/>
    </w:rPr>
  </w:style>
  <w:style w:type="paragraph" w:styleId="Textebrut">
    <w:name w:val="Plain Text"/>
    <w:basedOn w:val="Normal"/>
    <w:rsid w:val="00A33AD1"/>
    <w:rPr>
      <w:rFonts w:ascii="Courier New" w:hAnsi="Courier New" w:cs="Courier New"/>
      <w:sz w:val="20"/>
    </w:rPr>
  </w:style>
  <w:style w:type="paragraph" w:styleId="Textedebulles">
    <w:name w:val="Balloon Text"/>
    <w:basedOn w:val="Normal"/>
    <w:link w:val="TextedebullesCar"/>
    <w:uiPriority w:val="99"/>
    <w:semiHidden/>
    <w:unhideWhenUsed/>
    <w:rsid w:val="00A134F6"/>
    <w:rPr>
      <w:rFonts w:ascii="Tahoma" w:hAnsi="Tahoma" w:cs="Tahoma"/>
      <w:sz w:val="16"/>
      <w:szCs w:val="16"/>
    </w:rPr>
  </w:style>
  <w:style w:type="character" w:customStyle="1" w:styleId="TextedebullesCar">
    <w:name w:val="Texte de bulles Car"/>
    <w:basedOn w:val="Policepardfaut"/>
    <w:link w:val="Textedebulles"/>
    <w:uiPriority w:val="99"/>
    <w:semiHidden/>
    <w:rsid w:val="00A134F6"/>
    <w:rPr>
      <w:rFonts w:ascii="Tahoma" w:hAnsi="Tahoma" w:cs="Tahoma"/>
      <w:sz w:val="16"/>
      <w:szCs w:val="16"/>
    </w:rPr>
  </w:style>
  <w:style w:type="character" w:styleId="Lienhypertexte">
    <w:name w:val="Hyperlink"/>
    <w:basedOn w:val="Policepardfaut"/>
    <w:rsid w:val="00DD307D"/>
    <w:rPr>
      <w:color w:val="0000FF"/>
      <w:u w:val="single"/>
    </w:rPr>
  </w:style>
  <w:style w:type="character" w:styleId="Lienhypertextesuivivisit">
    <w:name w:val="FollowedHyperlink"/>
    <w:basedOn w:val="Policepardfaut"/>
    <w:uiPriority w:val="99"/>
    <w:semiHidden/>
    <w:unhideWhenUsed/>
    <w:rsid w:val="00023951"/>
    <w:rPr>
      <w:color w:val="800080"/>
      <w:u w:val="single"/>
    </w:rPr>
  </w:style>
  <w:style w:type="paragraph" w:customStyle="1" w:styleId="Default">
    <w:name w:val="Default"/>
    <w:rsid w:val="005176DE"/>
    <w:pPr>
      <w:autoSpaceDE w:val="0"/>
      <w:autoSpaceDN w:val="0"/>
      <w:adjustRightInd w:val="0"/>
    </w:pPr>
    <w:rPr>
      <w:color w:val="000000"/>
      <w:sz w:val="24"/>
      <w:szCs w:val="24"/>
    </w:rPr>
  </w:style>
  <w:style w:type="paragraph" w:customStyle="1" w:styleId="titrecouverture19pt">
    <w:name w:val="titre couverture 19 pt"/>
    <w:basedOn w:val="Normal"/>
    <w:next w:val="Normal"/>
    <w:rsid w:val="00F04D06"/>
    <w:pPr>
      <w:spacing w:before="340" w:line="440" w:lineRule="exact"/>
      <w:ind w:firstLine="567"/>
      <w:jc w:val="center"/>
    </w:pPr>
    <w:rPr>
      <w:rFonts w:ascii="Arial" w:hAnsi="Arial" w:cs="Arial"/>
      <w:spacing w:val="40"/>
      <w:position w:val="-1"/>
      <w:sz w:val="38"/>
      <w:szCs w:val="38"/>
    </w:rPr>
  </w:style>
  <w:style w:type="paragraph" w:customStyle="1" w:styleId="Couverture18">
    <w:name w:val="Couverture 18"/>
    <w:rsid w:val="00F04D06"/>
    <w:pPr>
      <w:jc w:val="center"/>
    </w:pPr>
    <w:rPr>
      <w:rFonts w:ascii="Arial" w:hAnsi="Arial" w:cs="Arial"/>
      <w:b/>
      <w:bCs/>
      <w:noProof/>
      <w:sz w:val="36"/>
      <w:szCs w:val="36"/>
    </w:rPr>
  </w:style>
  <w:style w:type="paragraph" w:customStyle="1" w:styleId="logocouverture">
    <w:name w:val="logo couverture"/>
    <w:basedOn w:val="Normal"/>
    <w:next w:val="Normal"/>
    <w:rsid w:val="00F04D06"/>
    <w:pPr>
      <w:framePr w:w="5103" w:h="2268" w:hRule="exact" w:wrap="notBeside" w:vAnchor="page" w:hAnchor="page" w:xAlign="center" w:y="13609"/>
      <w:pBdr>
        <w:bottom w:val="single" w:sz="18" w:space="0" w:color="auto"/>
      </w:pBdr>
      <w:spacing w:line="280" w:lineRule="exact"/>
      <w:ind w:firstLine="567"/>
      <w:jc w:val="center"/>
    </w:pPr>
    <w:rPr>
      <w:rFonts w:ascii="Arial" w:hAnsi="Arial" w:cs="Arial"/>
      <w:szCs w:val="22"/>
    </w:rPr>
  </w:style>
  <w:style w:type="paragraph" w:styleId="Paragraphedeliste">
    <w:name w:val="List Paragraph"/>
    <w:basedOn w:val="Normal"/>
    <w:uiPriority w:val="34"/>
    <w:qFormat/>
    <w:rsid w:val="007506B0"/>
    <w:pPr>
      <w:ind w:left="720"/>
      <w:contextualSpacing/>
    </w:pPr>
  </w:style>
  <w:style w:type="character" w:customStyle="1" w:styleId="Retraitcorpsdetexte2Car">
    <w:name w:val="Retrait corps de texte 2 Car"/>
    <w:basedOn w:val="Policepardfaut"/>
    <w:link w:val="Retraitcorpsdetexte2"/>
    <w:rsid w:val="007506B0"/>
    <w:rPr>
      <w:b/>
      <w:sz w:val="22"/>
    </w:rPr>
  </w:style>
  <w:style w:type="paragraph" w:styleId="Retraitcorpsdetexte">
    <w:name w:val="Body Text Indent"/>
    <w:basedOn w:val="Normal"/>
    <w:link w:val="RetraitcorpsdetexteCar"/>
    <w:uiPriority w:val="99"/>
    <w:semiHidden/>
    <w:unhideWhenUsed/>
    <w:rsid w:val="00AC104A"/>
    <w:pPr>
      <w:spacing w:after="120"/>
      <w:ind w:left="283"/>
    </w:pPr>
  </w:style>
  <w:style w:type="character" w:customStyle="1" w:styleId="RetraitcorpsdetexteCar">
    <w:name w:val="Retrait corps de texte Car"/>
    <w:basedOn w:val="Policepardfaut"/>
    <w:link w:val="Retraitcorpsdetexte"/>
    <w:uiPriority w:val="99"/>
    <w:semiHidden/>
    <w:rsid w:val="00AC104A"/>
    <w:rPr>
      <w:sz w:val="22"/>
    </w:rPr>
  </w:style>
  <w:style w:type="paragraph" w:styleId="Notedefin">
    <w:name w:val="endnote text"/>
    <w:basedOn w:val="Normal"/>
    <w:link w:val="NotedefinCar"/>
    <w:uiPriority w:val="99"/>
    <w:semiHidden/>
    <w:unhideWhenUsed/>
    <w:rsid w:val="00653278"/>
    <w:rPr>
      <w:sz w:val="20"/>
    </w:rPr>
  </w:style>
  <w:style w:type="character" w:customStyle="1" w:styleId="NotedefinCar">
    <w:name w:val="Note de fin Car"/>
    <w:basedOn w:val="Policepardfaut"/>
    <w:link w:val="Notedefin"/>
    <w:uiPriority w:val="99"/>
    <w:semiHidden/>
    <w:rsid w:val="00653278"/>
  </w:style>
  <w:style w:type="character" w:styleId="Appeldenotedefin">
    <w:name w:val="endnote reference"/>
    <w:basedOn w:val="Policepardfaut"/>
    <w:uiPriority w:val="99"/>
    <w:semiHidden/>
    <w:unhideWhenUsed/>
    <w:rsid w:val="00653278"/>
    <w:rPr>
      <w:vertAlign w:val="superscript"/>
    </w:rPr>
  </w:style>
  <w:style w:type="paragraph" w:styleId="En-ttedetabledesmatires">
    <w:name w:val="TOC Heading"/>
    <w:basedOn w:val="Titre1"/>
    <w:next w:val="Normal"/>
    <w:uiPriority w:val="39"/>
    <w:semiHidden/>
    <w:unhideWhenUsed/>
    <w:qFormat/>
    <w:rsid w:val="00E959FD"/>
    <w:pPr>
      <w:keepLines/>
      <w:numPr>
        <w:numId w:val="0"/>
      </w:numPr>
      <w:spacing w:after="0" w:line="276" w:lineRule="auto"/>
      <w:outlineLvl w:val="9"/>
    </w:pPr>
    <w:rPr>
      <w:rFonts w:ascii="Cambria" w:hAnsi="Cambria"/>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65673">
      <w:bodyDiv w:val="1"/>
      <w:marLeft w:val="0"/>
      <w:marRight w:val="0"/>
      <w:marTop w:val="0"/>
      <w:marBottom w:val="0"/>
      <w:divBdr>
        <w:top w:val="none" w:sz="0" w:space="0" w:color="auto"/>
        <w:left w:val="none" w:sz="0" w:space="0" w:color="auto"/>
        <w:bottom w:val="none" w:sz="0" w:space="0" w:color="auto"/>
        <w:right w:val="none" w:sz="0" w:space="0" w:color="auto"/>
      </w:divBdr>
    </w:div>
    <w:div w:id="128700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nque-france.fr/sites/default/files/media/2019/02/11/formulaire_b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anque-france.fr/sites/default/files/media/2019/02/11/formulaire_a2.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anque-france.fr/sites/default/files/media/2016/11/14/manuel-utilisateur-onegat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que-france.fr/sites/default/files/media/2019/02/11/formulaire_a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egate.banque-france.fr/onegate" TargetMode="External"/><Relationship Id="rId23" Type="http://schemas.openxmlformats.org/officeDocument/2006/relationships/fontTable" Target="fontTable.xml"/><Relationship Id="rId10" Type="http://schemas.openxmlformats.org/officeDocument/2006/relationships/hyperlink" Target="https://www.banque-france.fr/statistiques/espace-declarants/entreprises/declaration-directe-generale-la-balance-des-paiem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banque-france.fr/sites/default/files/media/2019/02/11/formulaire_b2.pdf"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E47B7-F068-47F3-B036-0DB426C0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4580</Words>
  <Characters>25191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FORMULAIRE</vt:lpstr>
    </vt:vector>
  </TitlesOfParts>
  <Company>Banque de France</Company>
  <LinksUpToDate>false</LinksUpToDate>
  <CharactersWithSpaces>29712</CharactersWithSpaces>
  <SharedDoc>false</SharedDoc>
  <HLinks>
    <vt:vector size="12" baseType="variant">
      <vt:variant>
        <vt:i4>7929905</vt:i4>
      </vt:variant>
      <vt:variant>
        <vt:i4>3</vt:i4>
      </vt:variant>
      <vt:variant>
        <vt:i4>0</vt:i4>
      </vt:variant>
      <vt:variant>
        <vt:i4>5</vt:i4>
      </vt:variant>
      <vt:variant>
        <vt:lpwstr>http://www.banque-france.fr/economie-et-statistiques/espace-declarants/reglementation-de-la-balance-des-paiements-et-de-la-position-exterieure/recueil-des-modalites-declaratives-a-lattention-des-declarants-directs-generaux.html</vt:lpwstr>
      </vt:variant>
      <vt:variant>
        <vt:lpwstr/>
      </vt:variant>
      <vt:variant>
        <vt:i4>65623</vt:i4>
      </vt:variant>
      <vt:variant>
        <vt:i4>0</vt:i4>
      </vt:variant>
      <vt:variant>
        <vt:i4>0</vt:i4>
      </vt:variant>
      <vt:variant>
        <vt:i4>5</vt:i4>
      </vt:variant>
      <vt:variant>
        <vt:lpwstr>https://onegate.banque-france.fr/onegate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creator>Jean-Michel POURCHON</dc:creator>
  <cp:lastModifiedBy>BRANTHOMME Patrick (UA 1560)</cp:lastModifiedBy>
  <cp:revision>2</cp:revision>
  <cp:lastPrinted>2018-09-17T15:58:00Z</cp:lastPrinted>
  <dcterms:created xsi:type="dcterms:W3CDTF">2020-05-19T10:35:00Z</dcterms:created>
  <dcterms:modified xsi:type="dcterms:W3CDTF">2020-05-19T10:35:00Z</dcterms:modified>
</cp:coreProperties>
</file>