
<file path=[Content_Types].xml><?xml version="1.0" encoding="utf-8"?>
<Types xmlns="http://schemas.openxmlformats.org/package/2006/content-types">
  <Default ContentType="image/png" Extension="png"/>
  <Default ContentType="image/x-emf" Extension="emf"/>
  <Default ContentType="application/vnd.openxmlformats-package.relationships+xml" Extension="rels"/>
  <Default ContentType="application/xml" Extension="xml"/>
  <Default ContentType="application/vnd.openxmlformats-officedocument.spreadsheetml.sheet" Extension="xlsx"/>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C0073" w14:textId="77777777" w:rsidR="00E077A7" w:rsidRPr="003D6BE3" w:rsidRDefault="00E077A7" w:rsidP="00E077A7">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bookmarkStart w:id="0" w:name="_GoBack"/>
      <w:bookmarkEnd w:id="0"/>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0B1A03DD" w14:textId="77777777" w:rsidR="00E077A7" w:rsidRDefault="00E077A7" w:rsidP="00E077A7">
      <w:pPr>
        <w:jc w:val="center"/>
        <w:rPr>
          <w:sz w:val="52"/>
          <w:szCs w:val="52"/>
        </w:rPr>
      </w:pPr>
    </w:p>
    <w:p w14:paraId="0012DEBA" w14:textId="77777777" w:rsidR="00E077A7" w:rsidRDefault="00823BD8" w:rsidP="00E077A7">
      <w:pPr>
        <w:jc w:val="center"/>
      </w:pPr>
      <w:r>
        <w:rPr>
          <w:sz w:val="52"/>
          <w:szCs w:val="52"/>
        </w:rPr>
        <w:t>Statistiques de fraude des systèmes de paiement par carte</w:t>
      </w:r>
    </w:p>
    <w:p w14:paraId="6EF723D7" w14:textId="77777777" w:rsidR="00E077A7" w:rsidRDefault="00E077A7" w:rsidP="00E077A7">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1A26D7A2" w14:textId="77777777" w:rsidR="00E077A7" w:rsidRDefault="00E077A7"/>
    <w:p w14:paraId="5F2B31F3" w14:textId="77777777" w:rsidR="00E077A7" w:rsidRPr="00C343AE" w:rsidRDefault="00C343AE" w:rsidP="00C343AE">
      <w:pPr>
        <w:jc w:val="center"/>
        <w:rPr>
          <w:sz w:val="52"/>
          <w:szCs w:val="52"/>
        </w:rPr>
      </w:pPr>
      <w:r w:rsidRPr="00C343AE">
        <w:rPr>
          <w:sz w:val="52"/>
          <w:szCs w:val="52"/>
        </w:rPr>
        <w:t xml:space="preserve">Collecte </w:t>
      </w:r>
      <w:r w:rsidR="00DD2E49">
        <w:rPr>
          <w:sz w:val="52"/>
          <w:szCs w:val="52"/>
        </w:rPr>
        <w:t>de l’</w:t>
      </w:r>
      <w:r>
        <w:rPr>
          <w:sz w:val="52"/>
          <w:szCs w:val="52"/>
        </w:rPr>
        <w:t>O</w:t>
      </w:r>
      <w:r w:rsidR="00DD2E49">
        <w:rPr>
          <w:sz w:val="52"/>
          <w:szCs w:val="52"/>
        </w:rPr>
        <w:t>bservatoire de la sécurité des moyens de paiement</w:t>
      </w:r>
    </w:p>
    <w:p w14:paraId="172817CA" w14:textId="77777777" w:rsidR="00C343AE" w:rsidRDefault="00C343AE" w:rsidP="00C343AE">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7825520F" w14:textId="77777777" w:rsidR="00E077A7" w:rsidRDefault="00E077A7"/>
    <w:p w14:paraId="4AC9F3B2" w14:textId="77777777" w:rsidR="00E077A7" w:rsidRDefault="00E077A7"/>
    <w:p w14:paraId="4096E362" w14:textId="77777777" w:rsidR="00E077A7" w:rsidRDefault="00E077A7"/>
    <w:p w14:paraId="779DF9C5" w14:textId="77777777" w:rsidR="00E077A7" w:rsidRPr="00E077A7" w:rsidRDefault="00E077A7" w:rsidP="00E077A7">
      <w:pPr>
        <w:jc w:val="center"/>
        <w:rPr>
          <w:b/>
          <w:sz w:val="52"/>
          <w:szCs w:val="52"/>
        </w:rPr>
      </w:pPr>
      <w:r w:rsidRPr="00E077A7">
        <w:rPr>
          <w:b/>
          <w:sz w:val="52"/>
          <w:szCs w:val="52"/>
        </w:rPr>
        <w:t>Guide de remplissage</w:t>
      </w:r>
    </w:p>
    <w:p w14:paraId="0283EC3D" w14:textId="77777777" w:rsidR="00E077A7" w:rsidRPr="00E077A7" w:rsidRDefault="00E077A7" w:rsidP="00E077A7">
      <w:pPr>
        <w:jc w:val="center"/>
        <w:rPr>
          <w:sz w:val="36"/>
          <w:szCs w:val="36"/>
        </w:rPr>
      </w:pPr>
      <w:r w:rsidRPr="00E077A7">
        <w:rPr>
          <w:sz w:val="36"/>
          <w:szCs w:val="36"/>
        </w:rPr>
        <w:t>à l’attention des déclarants</w:t>
      </w:r>
    </w:p>
    <w:p w14:paraId="1A0A8268" w14:textId="77777777" w:rsidR="00E077A7" w:rsidRDefault="00E077A7"/>
    <w:p w14:paraId="203983A3" w14:textId="77777777" w:rsidR="00601DCE" w:rsidRDefault="007E729F" w:rsidP="00FF57F7">
      <w:pPr>
        <w:jc w:val="center"/>
        <w:rPr>
          <w:b/>
          <w:color w:val="FF0000"/>
          <w:sz w:val="36"/>
          <w:szCs w:val="36"/>
        </w:rPr>
      </w:pPr>
      <w:r w:rsidRPr="00FF57F7">
        <w:rPr>
          <w:b/>
          <w:color w:val="FF0000"/>
          <w:sz w:val="36"/>
          <w:szCs w:val="36"/>
        </w:rPr>
        <w:t xml:space="preserve">Applicable à partir des données </w:t>
      </w:r>
    </w:p>
    <w:p w14:paraId="597BC301" w14:textId="20BE882C" w:rsidR="003D6BE3" w:rsidRPr="00FF57F7" w:rsidRDefault="007E729F" w:rsidP="00FF57F7">
      <w:pPr>
        <w:jc w:val="center"/>
        <w:rPr>
          <w:b/>
          <w:color w:val="FF0000"/>
          <w:sz w:val="36"/>
          <w:szCs w:val="36"/>
        </w:rPr>
      </w:pPr>
      <w:r w:rsidRPr="00FF57F7">
        <w:rPr>
          <w:b/>
          <w:color w:val="FF0000"/>
          <w:sz w:val="36"/>
          <w:szCs w:val="36"/>
        </w:rPr>
        <w:t>du 1</w:t>
      </w:r>
      <w:r w:rsidRPr="00FF57F7">
        <w:rPr>
          <w:b/>
          <w:color w:val="FF0000"/>
          <w:sz w:val="36"/>
          <w:szCs w:val="36"/>
          <w:vertAlign w:val="superscript"/>
        </w:rPr>
        <w:t>er</w:t>
      </w:r>
      <w:r w:rsidR="00601DCE">
        <w:rPr>
          <w:b/>
          <w:color w:val="FF0000"/>
          <w:sz w:val="36"/>
          <w:szCs w:val="36"/>
          <w:vertAlign w:val="superscript"/>
        </w:rPr>
        <w:t xml:space="preserve"> </w:t>
      </w:r>
      <w:r w:rsidR="00601DCE" w:rsidRPr="00BA3CEE">
        <w:rPr>
          <w:b/>
          <w:color w:val="FF0000"/>
          <w:sz w:val="36"/>
          <w:szCs w:val="36"/>
        </w:rPr>
        <w:t>s</w:t>
      </w:r>
      <w:r w:rsidRPr="00BA3CEE">
        <w:rPr>
          <w:b/>
          <w:color w:val="FF0000"/>
          <w:sz w:val="36"/>
          <w:szCs w:val="36"/>
        </w:rPr>
        <w:t>emestre</w:t>
      </w:r>
      <w:r w:rsidRPr="00FF57F7">
        <w:rPr>
          <w:b/>
          <w:color w:val="FF0000"/>
          <w:sz w:val="36"/>
          <w:szCs w:val="36"/>
        </w:rPr>
        <w:t xml:space="preserve"> 202</w:t>
      </w:r>
      <w:r w:rsidR="005F44FE">
        <w:rPr>
          <w:b/>
          <w:color w:val="FF0000"/>
          <w:sz w:val="36"/>
          <w:szCs w:val="36"/>
        </w:rPr>
        <w:t>3</w:t>
      </w:r>
    </w:p>
    <w:p w14:paraId="620068AC" w14:textId="77777777" w:rsidR="00E34DB1" w:rsidRDefault="00E34DB1"/>
    <w:p w14:paraId="0F6D569D" w14:textId="77777777" w:rsidR="00E077A7" w:rsidRDefault="003D6BE3" w:rsidP="003D6BE3">
      <w:pPr>
        <w:jc w:val="center"/>
      </w:pPr>
      <w:r w:rsidRPr="002D14AB">
        <w:rPr>
          <w:rFonts w:cstheme="minorHAnsi"/>
          <w:noProof/>
          <w:lang w:eastAsia="fr-FR"/>
        </w:rPr>
        <w:drawing>
          <wp:inline distT="0" distB="0" distL="0" distR="0" wp14:anchorId="53C261D6" wp14:editId="63302223">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8"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70A089BE" w14:textId="77777777" w:rsidR="00B646C3" w:rsidRDefault="00B646C3" w:rsidP="00FF57F7">
      <w:pPr>
        <w:jc w:val="center"/>
        <w:rPr>
          <w:rFonts w:ascii="Cambria,Bold" w:hAnsi="Cambria,Bold" w:cs="Cambria,Bold"/>
          <w:b/>
          <w:bCs/>
          <w:color w:val="548DD4" w:themeColor="text2" w:themeTint="99"/>
          <w:sz w:val="24"/>
          <w:szCs w:val="24"/>
        </w:rPr>
      </w:pPr>
    </w:p>
    <w:p w14:paraId="2D87A876" w14:textId="77777777" w:rsidR="00D821F0" w:rsidRDefault="00D821F0" w:rsidP="00D821F0">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D821F0" w14:paraId="7FDEE54A" w14:textId="77777777" w:rsidTr="00D821F0">
        <w:tc>
          <w:tcPr>
            <w:tcW w:w="1400" w:type="dxa"/>
          </w:tcPr>
          <w:p w14:paraId="48568A1D" w14:textId="77777777" w:rsidR="00D821F0" w:rsidRPr="0027154D" w:rsidRDefault="00D821F0" w:rsidP="00D821F0">
            <w:pPr>
              <w:rPr>
                <w:rFonts w:cstheme="minorHAnsi"/>
                <w:b/>
              </w:rPr>
            </w:pPr>
            <w:r w:rsidRPr="0027154D">
              <w:rPr>
                <w:rFonts w:cstheme="minorHAnsi"/>
                <w:b/>
              </w:rPr>
              <w:t>Version</w:t>
            </w:r>
          </w:p>
        </w:tc>
        <w:tc>
          <w:tcPr>
            <w:tcW w:w="1278" w:type="dxa"/>
          </w:tcPr>
          <w:p w14:paraId="3AFD4CCF" w14:textId="77777777" w:rsidR="00D821F0" w:rsidRPr="0027154D" w:rsidRDefault="00D821F0" w:rsidP="00D821F0">
            <w:pPr>
              <w:rPr>
                <w:rFonts w:cstheme="minorHAnsi"/>
                <w:b/>
              </w:rPr>
            </w:pPr>
            <w:r w:rsidRPr="0027154D">
              <w:rPr>
                <w:rFonts w:cstheme="minorHAnsi"/>
                <w:b/>
              </w:rPr>
              <w:t>Date</w:t>
            </w:r>
          </w:p>
        </w:tc>
        <w:tc>
          <w:tcPr>
            <w:tcW w:w="6382" w:type="dxa"/>
          </w:tcPr>
          <w:p w14:paraId="2278659C" w14:textId="77777777" w:rsidR="00D821F0" w:rsidRPr="0027154D" w:rsidRDefault="00D821F0" w:rsidP="00D821F0">
            <w:pPr>
              <w:rPr>
                <w:rFonts w:cstheme="minorHAnsi"/>
                <w:b/>
              </w:rPr>
            </w:pPr>
            <w:r w:rsidRPr="0027154D">
              <w:rPr>
                <w:rFonts w:cstheme="minorHAnsi"/>
                <w:b/>
              </w:rPr>
              <w:t>Commentaires</w:t>
            </w:r>
          </w:p>
        </w:tc>
      </w:tr>
      <w:tr w:rsidR="00D821F0" w14:paraId="7814DFE8" w14:textId="77777777" w:rsidTr="00D821F0">
        <w:tc>
          <w:tcPr>
            <w:tcW w:w="1400" w:type="dxa"/>
          </w:tcPr>
          <w:p w14:paraId="250F3CFF" w14:textId="7C6689D2" w:rsidR="00D821F0" w:rsidRPr="0027154D" w:rsidRDefault="00D821F0" w:rsidP="00D821F0">
            <w:pPr>
              <w:rPr>
                <w:rFonts w:cstheme="minorHAnsi"/>
                <w:sz w:val="18"/>
              </w:rPr>
            </w:pPr>
            <w:r>
              <w:rPr>
                <w:rFonts w:cstheme="minorHAnsi"/>
                <w:sz w:val="18"/>
              </w:rPr>
              <w:t>0.5</w:t>
            </w:r>
          </w:p>
        </w:tc>
        <w:tc>
          <w:tcPr>
            <w:tcW w:w="1278" w:type="dxa"/>
          </w:tcPr>
          <w:p w14:paraId="54A3D8E1" w14:textId="6763B6BA" w:rsidR="00D821F0" w:rsidRPr="0027154D" w:rsidRDefault="00D821F0" w:rsidP="00D821F0">
            <w:pPr>
              <w:rPr>
                <w:rFonts w:cstheme="minorHAnsi"/>
                <w:sz w:val="18"/>
              </w:rPr>
            </w:pPr>
            <w:r>
              <w:rPr>
                <w:rFonts w:cstheme="minorHAnsi"/>
                <w:sz w:val="18"/>
              </w:rPr>
              <w:t>17/12/2020</w:t>
            </w:r>
          </w:p>
        </w:tc>
        <w:tc>
          <w:tcPr>
            <w:tcW w:w="6382" w:type="dxa"/>
          </w:tcPr>
          <w:p w14:paraId="2CC40C34" w14:textId="77777777" w:rsidR="00D821F0" w:rsidRPr="0027154D" w:rsidRDefault="00D821F0" w:rsidP="00D821F0">
            <w:pPr>
              <w:rPr>
                <w:rFonts w:cstheme="minorHAnsi"/>
                <w:sz w:val="18"/>
              </w:rPr>
            </w:pPr>
          </w:p>
        </w:tc>
      </w:tr>
      <w:tr w:rsidR="00D821F0" w14:paraId="1291156E" w14:textId="77777777" w:rsidTr="00D821F0">
        <w:tc>
          <w:tcPr>
            <w:tcW w:w="1400" w:type="dxa"/>
          </w:tcPr>
          <w:p w14:paraId="53DED040" w14:textId="067B978A" w:rsidR="00D821F0" w:rsidRPr="0027154D" w:rsidRDefault="00D821F0" w:rsidP="00D821F0">
            <w:pPr>
              <w:rPr>
                <w:rFonts w:cstheme="minorHAnsi"/>
                <w:sz w:val="18"/>
              </w:rPr>
            </w:pPr>
            <w:r>
              <w:rPr>
                <w:rFonts w:cstheme="minorHAnsi"/>
                <w:sz w:val="18"/>
              </w:rPr>
              <w:t>0.6</w:t>
            </w:r>
          </w:p>
        </w:tc>
        <w:tc>
          <w:tcPr>
            <w:tcW w:w="1278" w:type="dxa"/>
          </w:tcPr>
          <w:p w14:paraId="25E80297" w14:textId="7714518E" w:rsidR="00D821F0" w:rsidRPr="0027154D" w:rsidRDefault="00D821F0" w:rsidP="00D821F0">
            <w:pPr>
              <w:rPr>
                <w:rFonts w:cstheme="minorHAnsi"/>
                <w:sz w:val="18"/>
              </w:rPr>
            </w:pPr>
            <w:r>
              <w:rPr>
                <w:rFonts w:cstheme="minorHAnsi"/>
                <w:sz w:val="18"/>
              </w:rPr>
              <w:t>14/01/2022</w:t>
            </w:r>
          </w:p>
        </w:tc>
        <w:tc>
          <w:tcPr>
            <w:tcW w:w="6382" w:type="dxa"/>
          </w:tcPr>
          <w:p w14:paraId="461E46DB" w14:textId="246BAAB6" w:rsidR="00D821F0" w:rsidRPr="00B87799" w:rsidRDefault="00D821F0" w:rsidP="00B87799">
            <w:pPr>
              <w:rPr>
                <w:rFonts w:cstheme="minorHAnsi"/>
                <w:sz w:val="18"/>
              </w:rPr>
            </w:pPr>
            <w:r w:rsidRPr="00B87799">
              <w:rPr>
                <w:rFonts w:cstheme="minorHAnsi"/>
                <w:sz w:val="18"/>
              </w:rPr>
              <w:t>Ajout de 4 sous composantes à l’indicateur « Dont paiements non authentifiés »</w:t>
            </w:r>
            <w:r>
              <w:rPr>
                <w:rFonts w:cstheme="minorHAnsi"/>
                <w:sz w:val="18"/>
              </w:rPr>
              <w:t xml:space="preserve"> pour les paiements sur Internet.</w:t>
            </w:r>
          </w:p>
        </w:tc>
      </w:tr>
      <w:tr w:rsidR="00D821F0" w14:paraId="3A757E6A" w14:textId="77777777" w:rsidTr="00D821F0">
        <w:tc>
          <w:tcPr>
            <w:tcW w:w="1400" w:type="dxa"/>
          </w:tcPr>
          <w:p w14:paraId="62EFD694" w14:textId="613E7710" w:rsidR="00D821F0" w:rsidRPr="0027154D" w:rsidRDefault="00A77830" w:rsidP="00D821F0">
            <w:pPr>
              <w:rPr>
                <w:rFonts w:cstheme="minorHAnsi"/>
                <w:sz w:val="18"/>
              </w:rPr>
            </w:pPr>
            <w:r>
              <w:rPr>
                <w:rFonts w:cstheme="minorHAnsi"/>
                <w:sz w:val="18"/>
              </w:rPr>
              <w:t>0.7</w:t>
            </w:r>
          </w:p>
        </w:tc>
        <w:tc>
          <w:tcPr>
            <w:tcW w:w="1278" w:type="dxa"/>
          </w:tcPr>
          <w:p w14:paraId="2607DFC2" w14:textId="60A0109B" w:rsidR="00D821F0" w:rsidRPr="0027154D" w:rsidRDefault="00A77830" w:rsidP="00D821F0">
            <w:pPr>
              <w:rPr>
                <w:rFonts w:cstheme="minorHAnsi"/>
                <w:sz w:val="18"/>
              </w:rPr>
            </w:pPr>
            <w:r>
              <w:rPr>
                <w:rFonts w:cstheme="minorHAnsi"/>
                <w:sz w:val="18"/>
              </w:rPr>
              <w:t>15/02/2022</w:t>
            </w:r>
          </w:p>
        </w:tc>
        <w:tc>
          <w:tcPr>
            <w:tcW w:w="6382" w:type="dxa"/>
          </w:tcPr>
          <w:p w14:paraId="171FCFD9" w14:textId="682B96BB" w:rsidR="00D821F0" w:rsidRPr="0027154D" w:rsidRDefault="00A77830" w:rsidP="00D821F0">
            <w:pPr>
              <w:rPr>
                <w:rFonts w:cstheme="minorHAnsi"/>
                <w:sz w:val="18"/>
              </w:rPr>
            </w:pPr>
            <w:r>
              <w:rPr>
                <w:rFonts w:cstheme="minorHAnsi"/>
                <w:sz w:val="18"/>
              </w:rPr>
              <w:t>Correction de la définition du paiement « </w:t>
            </w:r>
            <w:r w:rsidR="00B76721" w:rsidRPr="001141B0">
              <w:rPr>
                <w:rFonts w:cstheme="minorHAnsi"/>
                <w:i/>
                <w:sz w:val="18"/>
              </w:rPr>
              <w:t>o</w:t>
            </w:r>
            <w:r w:rsidRPr="001141B0">
              <w:rPr>
                <w:rFonts w:cstheme="minorHAnsi"/>
                <w:i/>
                <w:sz w:val="18"/>
              </w:rPr>
              <w:t>ne leg</w:t>
            </w:r>
            <w:r>
              <w:rPr>
                <w:rFonts w:cstheme="minorHAnsi"/>
                <w:sz w:val="18"/>
              </w:rPr>
              <w:t> » et complément de la définition de « </w:t>
            </w:r>
            <w:r w:rsidRPr="00A77830">
              <w:rPr>
                <w:rFonts w:cstheme="minorHAnsi"/>
                <w:sz w:val="18"/>
              </w:rPr>
              <w:t>Dont paiements 3D Secure sans authentification forte</w:t>
            </w:r>
            <w:r>
              <w:rPr>
                <w:rFonts w:cstheme="minorHAnsi"/>
                <w:sz w:val="18"/>
              </w:rPr>
              <w:t> »</w:t>
            </w:r>
            <w:r w:rsidR="00373697">
              <w:rPr>
                <w:rFonts w:cstheme="minorHAnsi"/>
                <w:sz w:val="18"/>
              </w:rPr>
              <w:t>.</w:t>
            </w:r>
          </w:p>
        </w:tc>
      </w:tr>
      <w:tr w:rsidR="00D821F0" w14:paraId="2BF43A4A" w14:textId="77777777" w:rsidTr="00D821F0">
        <w:tc>
          <w:tcPr>
            <w:tcW w:w="1400" w:type="dxa"/>
          </w:tcPr>
          <w:p w14:paraId="487F8665" w14:textId="25106AAE" w:rsidR="00D821F0" w:rsidRPr="001141B0" w:rsidRDefault="00A60E69" w:rsidP="00D821F0">
            <w:pPr>
              <w:rPr>
                <w:rFonts w:cstheme="minorHAnsi"/>
                <w:sz w:val="18"/>
              </w:rPr>
            </w:pPr>
            <w:r w:rsidRPr="001141B0">
              <w:rPr>
                <w:rFonts w:cstheme="minorHAnsi"/>
                <w:sz w:val="18"/>
              </w:rPr>
              <w:t>0.8</w:t>
            </w:r>
          </w:p>
        </w:tc>
        <w:tc>
          <w:tcPr>
            <w:tcW w:w="1278" w:type="dxa"/>
          </w:tcPr>
          <w:p w14:paraId="5F539B05" w14:textId="5C842F1B" w:rsidR="00D821F0" w:rsidRPr="001141B0" w:rsidRDefault="008E39B3" w:rsidP="00D821F0">
            <w:pPr>
              <w:rPr>
                <w:rFonts w:cstheme="minorHAnsi"/>
                <w:sz w:val="18"/>
                <w:highlight w:val="yellow"/>
              </w:rPr>
            </w:pPr>
            <w:r w:rsidRPr="008E39B3">
              <w:rPr>
                <w:rFonts w:cstheme="minorHAnsi"/>
                <w:sz w:val="18"/>
              </w:rPr>
              <w:t>22</w:t>
            </w:r>
            <w:r w:rsidR="001141B0" w:rsidRPr="008E39B3">
              <w:rPr>
                <w:rFonts w:cstheme="minorHAnsi"/>
                <w:sz w:val="18"/>
              </w:rPr>
              <w:t>/05/2023</w:t>
            </w:r>
          </w:p>
        </w:tc>
        <w:tc>
          <w:tcPr>
            <w:tcW w:w="6382" w:type="dxa"/>
          </w:tcPr>
          <w:p w14:paraId="4F143134" w14:textId="3193DD55" w:rsidR="00D821F0" w:rsidRPr="00CB0FC9" w:rsidRDefault="00A722B0" w:rsidP="00D821F0">
            <w:pPr>
              <w:rPr>
                <w:rFonts w:cstheme="minorHAnsi"/>
                <w:sz w:val="18"/>
              </w:rPr>
            </w:pPr>
            <w:r w:rsidRPr="00CB0FC9">
              <w:rPr>
                <w:rFonts w:cstheme="minorHAnsi"/>
                <w:sz w:val="18"/>
              </w:rPr>
              <w:t>i)</w:t>
            </w:r>
            <w:r w:rsidR="002E6800" w:rsidRPr="00CB0FC9">
              <w:rPr>
                <w:rFonts w:cstheme="minorHAnsi"/>
                <w:sz w:val="18"/>
              </w:rPr>
              <w:t xml:space="preserve"> </w:t>
            </w:r>
            <w:r w:rsidR="006D3C0D" w:rsidRPr="00CB0FC9">
              <w:rPr>
                <w:rFonts w:cstheme="minorHAnsi"/>
                <w:sz w:val="18"/>
              </w:rPr>
              <w:t>Exclusion des données de cartes de monnaie électronique de la collecte</w:t>
            </w:r>
          </w:p>
          <w:p w14:paraId="33ACC4DD" w14:textId="4A42D915" w:rsidR="00605EF0" w:rsidRPr="00CB0FC9" w:rsidRDefault="00A722B0" w:rsidP="00605EF0">
            <w:pPr>
              <w:rPr>
                <w:rFonts w:cstheme="minorHAnsi"/>
                <w:sz w:val="18"/>
              </w:rPr>
            </w:pPr>
            <w:r w:rsidRPr="00CB0FC9">
              <w:rPr>
                <w:rFonts w:cstheme="minorHAnsi"/>
                <w:sz w:val="18"/>
              </w:rPr>
              <w:t>ii)</w:t>
            </w:r>
            <w:r w:rsidR="00B76721">
              <w:rPr>
                <w:rFonts w:cstheme="minorHAnsi"/>
                <w:sz w:val="18"/>
              </w:rPr>
              <w:t xml:space="preserve"> </w:t>
            </w:r>
            <w:r w:rsidR="00456B62" w:rsidRPr="00CB0FC9">
              <w:rPr>
                <w:rFonts w:cstheme="minorHAnsi"/>
                <w:sz w:val="18"/>
              </w:rPr>
              <w:t xml:space="preserve">Précisions de la définition relative au dénombrement des supports autre que carte </w:t>
            </w:r>
          </w:p>
          <w:p w14:paraId="452C08BE" w14:textId="359F8769" w:rsidR="00B84667" w:rsidRPr="00CB0FC9" w:rsidRDefault="00A722B0" w:rsidP="00605EF0">
            <w:pPr>
              <w:rPr>
                <w:rFonts w:cstheme="minorHAnsi"/>
                <w:sz w:val="18"/>
              </w:rPr>
            </w:pPr>
            <w:r w:rsidRPr="00CB0FC9">
              <w:rPr>
                <w:rFonts w:cstheme="minorHAnsi"/>
                <w:sz w:val="18"/>
              </w:rPr>
              <w:t>iii)</w:t>
            </w:r>
            <w:r w:rsidR="00B76721">
              <w:rPr>
                <w:rFonts w:cstheme="minorHAnsi"/>
                <w:sz w:val="18"/>
              </w:rPr>
              <w:t xml:space="preserve"> </w:t>
            </w:r>
            <w:r w:rsidR="00C147D7">
              <w:rPr>
                <w:rFonts w:cstheme="minorHAnsi"/>
                <w:sz w:val="18"/>
              </w:rPr>
              <w:t>Ajout de la catégorie « dont paiements hors 3D Secure avec authentification forte</w:t>
            </w:r>
            <w:r w:rsidR="004F3774">
              <w:rPr>
                <w:rFonts w:cstheme="minorHAnsi"/>
                <w:sz w:val="18"/>
              </w:rPr>
              <w:t xml:space="preserve"> </w:t>
            </w:r>
            <w:r w:rsidR="00B84667" w:rsidRPr="00CB0FC9">
              <w:rPr>
                <w:rFonts w:cstheme="minorHAnsi"/>
                <w:sz w:val="18"/>
              </w:rPr>
              <w:t>»</w:t>
            </w:r>
          </w:p>
          <w:p w14:paraId="1D3540B1" w14:textId="196E0081" w:rsidR="00C147D7" w:rsidRDefault="00A722B0" w:rsidP="00605EF0">
            <w:pPr>
              <w:rPr>
                <w:rFonts w:cstheme="minorHAnsi"/>
                <w:sz w:val="18"/>
              </w:rPr>
            </w:pPr>
            <w:r w:rsidRPr="00CB0FC9">
              <w:rPr>
                <w:rFonts w:cstheme="minorHAnsi"/>
                <w:sz w:val="18"/>
              </w:rPr>
              <w:t>iv)</w:t>
            </w:r>
            <w:r w:rsidR="00B76721">
              <w:rPr>
                <w:rFonts w:cstheme="minorHAnsi"/>
                <w:sz w:val="18"/>
              </w:rPr>
              <w:t xml:space="preserve"> </w:t>
            </w:r>
            <w:r w:rsidR="00C147D7">
              <w:rPr>
                <w:rFonts w:cstheme="minorHAnsi"/>
                <w:sz w:val="18"/>
              </w:rPr>
              <w:t>Précisions des définitions de « paiements 3D Secure avec authentification forte », « paiements non 3DS non conformes à la DSP2 » et « paiements non authentifiés »</w:t>
            </w:r>
          </w:p>
          <w:p w14:paraId="256EEFDA" w14:textId="0824F5B5" w:rsidR="005F44FE" w:rsidRPr="00CB0FC9" w:rsidRDefault="005F44FE" w:rsidP="008E39B3">
            <w:pPr>
              <w:rPr>
                <w:rFonts w:cstheme="minorHAnsi"/>
                <w:sz w:val="18"/>
              </w:rPr>
            </w:pPr>
            <w:r>
              <w:rPr>
                <w:rFonts w:cstheme="minorHAnsi"/>
                <w:sz w:val="18"/>
              </w:rPr>
              <w:t xml:space="preserve">v) Rajout de la Guyane française dans </w:t>
            </w:r>
            <w:r w:rsidR="008E39B3">
              <w:rPr>
                <w:rFonts w:cstheme="minorHAnsi"/>
                <w:sz w:val="18"/>
              </w:rPr>
              <w:t xml:space="preserve">l’annexe partie </w:t>
            </w:r>
            <w:r>
              <w:rPr>
                <w:rFonts w:cstheme="minorHAnsi"/>
                <w:sz w:val="18"/>
              </w:rPr>
              <w:t>zone</w:t>
            </w:r>
            <w:r w:rsidR="008E39B3">
              <w:rPr>
                <w:rFonts w:cstheme="minorHAnsi"/>
                <w:sz w:val="18"/>
              </w:rPr>
              <w:t>s</w:t>
            </w:r>
            <w:r>
              <w:rPr>
                <w:rFonts w:cstheme="minorHAnsi"/>
                <w:sz w:val="18"/>
              </w:rPr>
              <w:t xml:space="preserve"> </w:t>
            </w:r>
            <w:r w:rsidR="008E39B3">
              <w:rPr>
                <w:rFonts w:cstheme="minorHAnsi"/>
                <w:sz w:val="18"/>
              </w:rPr>
              <w:t>géographiques/zone France</w:t>
            </w:r>
          </w:p>
        </w:tc>
      </w:tr>
    </w:tbl>
    <w:p w14:paraId="10250AB0" w14:textId="77777777" w:rsidR="00D821F0" w:rsidRDefault="00D821F0">
      <w:pP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br w:type="page"/>
      </w:r>
    </w:p>
    <w:p w14:paraId="59D12D84" w14:textId="099ABBD8" w:rsidR="00601DCE" w:rsidRDefault="0029299B" w:rsidP="00FF57F7">
      <w:pPr>
        <w:jc w:val="cente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lastRenderedPageBreak/>
        <w:t>Avant-propos</w:t>
      </w:r>
    </w:p>
    <w:p w14:paraId="686D4299" w14:textId="77777777" w:rsidR="00CB1D23" w:rsidRDefault="00CB1D23" w:rsidP="00FF57F7">
      <w:pPr>
        <w:jc w:val="center"/>
        <w:rPr>
          <w:rFonts w:ascii="Cambria,Bold" w:hAnsi="Cambria,Bold" w:cs="Cambria,Bold"/>
          <w:b/>
          <w:bCs/>
          <w:color w:val="548DD4" w:themeColor="text2" w:themeTint="99"/>
          <w:sz w:val="24"/>
          <w:szCs w:val="24"/>
        </w:rPr>
      </w:pPr>
    </w:p>
    <w:p w14:paraId="48CC0595" w14:textId="60770508" w:rsidR="0029299B" w:rsidRDefault="000513FB" w:rsidP="00FF57F7">
      <w:pPr>
        <w:jc w:val="both"/>
      </w:pPr>
      <w:r>
        <w:t>Le guide</w:t>
      </w:r>
      <w:r w:rsidR="0029299B">
        <w:t xml:space="preserve"> de remplissage de la collecte de l’OSMP </w:t>
      </w:r>
      <w:r>
        <w:t>prend</w:t>
      </w:r>
      <w:r w:rsidR="00B646C3">
        <w:t xml:space="preserve"> en </w:t>
      </w:r>
      <w:r>
        <w:t>compte les</w:t>
      </w:r>
      <w:r w:rsidR="00EF7FD4">
        <w:t xml:space="preserve"> orientations de l’ABE </w:t>
      </w:r>
      <w:r>
        <w:t>existantes depuis le</w:t>
      </w:r>
      <w:r w:rsidR="00EF7FD4">
        <w:t xml:space="preserve"> 1</w:t>
      </w:r>
      <w:r w:rsidR="00EF7FD4" w:rsidRPr="00FF57F7">
        <w:rPr>
          <w:vertAlign w:val="superscript"/>
        </w:rPr>
        <w:t>er</w:t>
      </w:r>
      <w:r w:rsidR="00EF7FD4">
        <w:t xml:space="preserve"> janvier 2021 auprès </w:t>
      </w:r>
      <w:r w:rsidR="002D1656">
        <w:t xml:space="preserve">des </w:t>
      </w:r>
      <w:r w:rsidR="00EF7FD4">
        <w:t xml:space="preserve">prestataires </w:t>
      </w:r>
      <w:r w:rsidR="002D1656">
        <w:t xml:space="preserve">de service de paiement français. Les principaux changements apportés à la collecte </w:t>
      </w:r>
      <w:r>
        <w:t>par ce texte ont été</w:t>
      </w:r>
      <w:r w:rsidR="002B4213">
        <w:t xml:space="preserve"> </w:t>
      </w:r>
      <w:r w:rsidR="002D1656">
        <w:t>:</w:t>
      </w:r>
    </w:p>
    <w:p w14:paraId="55FEFCCB" w14:textId="5DB7F9AD" w:rsidR="002D1656" w:rsidRDefault="002D1656" w:rsidP="00FF57F7">
      <w:pPr>
        <w:pStyle w:val="Paragraphedeliste"/>
        <w:numPr>
          <w:ilvl w:val="0"/>
          <w:numId w:val="21"/>
        </w:numPr>
        <w:jc w:val="both"/>
      </w:pPr>
      <w:r>
        <w:t xml:space="preserve">La périodicité de la collecte </w:t>
      </w:r>
      <w:r w:rsidR="000513FB">
        <w:t>est devenue</w:t>
      </w:r>
      <w:r>
        <w:t xml:space="preserve"> semestrielle ;</w:t>
      </w:r>
    </w:p>
    <w:p w14:paraId="084712A1" w14:textId="77777777" w:rsidR="00CB1D23" w:rsidRDefault="00CB1D23" w:rsidP="00CB1D23">
      <w:pPr>
        <w:pStyle w:val="Paragraphedeliste"/>
        <w:jc w:val="both"/>
      </w:pPr>
    </w:p>
    <w:p w14:paraId="3234E584" w14:textId="2730A1E3" w:rsidR="002D1656" w:rsidRDefault="002D1656" w:rsidP="00FF57F7">
      <w:pPr>
        <w:pStyle w:val="Paragraphedeliste"/>
        <w:numPr>
          <w:ilvl w:val="0"/>
          <w:numId w:val="21"/>
        </w:numPr>
        <w:jc w:val="both"/>
      </w:pPr>
      <w:r>
        <w:t>L</w:t>
      </w:r>
      <w:r w:rsidR="002B4213">
        <w:t>a ventilation géographique des données se fait selon les zones : France, zone de l’Espace Économique et Européen (EEE) et zone hors de l’EEE ;</w:t>
      </w:r>
    </w:p>
    <w:p w14:paraId="4DD58DB4" w14:textId="77777777" w:rsidR="00CB1D23" w:rsidRDefault="00CB1D23" w:rsidP="00CB1D23">
      <w:pPr>
        <w:pStyle w:val="Paragraphedeliste"/>
      </w:pPr>
    </w:p>
    <w:p w14:paraId="3255D6C4" w14:textId="236B6548" w:rsidR="002B4213" w:rsidRPr="00FF57F7" w:rsidRDefault="00CB1D23" w:rsidP="00FF57F7">
      <w:pPr>
        <w:pStyle w:val="Paragraphedeliste"/>
        <w:numPr>
          <w:ilvl w:val="0"/>
          <w:numId w:val="21"/>
        </w:numPr>
        <w:jc w:val="both"/>
      </w:pPr>
      <w:r>
        <w:t>L</w:t>
      </w:r>
      <w:r w:rsidR="002B4213">
        <w:t>es modes d’authentification des transactions</w:t>
      </w:r>
      <w:r>
        <w:t xml:space="preserve"> par carte sont suivis</w:t>
      </w:r>
      <w:r w:rsidR="002B4213">
        <w:t>.</w:t>
      </w:r>
    </w:p>
    <w:p w14:paraId="221CE091" w14:textId="77777777" w:rsidR="0029299B" w:rsidRDefault="0029299B" w:rsidP="00FD47E4">
      <w:pPr>
        <w:rPr>
          <w:rFonts w:ascii="Cambria,Bold" w:hAnsi="Cambria,Bold" w:cs="Cambria,Bold"/>
          <w:b/>
          <w:bCs/>
          <w:color w:val="548DD4" w:themeColor="text2" w:themeTint="99"/>
          <w:sz w:val="24"/>
          <w:szCs w:val="24"/>
        </w:rPr>
      </w:pPr>
    </w:p>
    <w:p w14:paraId="489D9DA2" w14:textId="77777777" w:rsidR="001752B5" w:rsidRDefault="001752B5">
      <w:pP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br w:type="page"/>
      </w:r>
    </w:p>
    <w:p w14:paraId="48DFD977" w14:textId="76D44666" w:rsidR="00FB623E" w:rsidRPr="00FD47E4" w:rsidRDefault="00FD47E4" w:rsidP="00FD47E4">
      <w:pPr>
        <w:rPr>
          <w:color w:val="548DD4" w:themeColor="text2" w:themeTint="99"/>
        </w:rPr>
      </w:pPr>
      <w:r>
        <w:rPr>
          <w:rFonts w:ascii="Cambria,Bold" w:hAnsi="Cambria,Bold" w:cs="Cambria,Bold"/>
          <w:b/>
          <w:bCs/>
          <w:color w:val="548DD4" w:themeColor="text2" w:themeTint="99"/>
          <w:sz w:val="24"/>
          <w:szCs w:val="24"/>
        </w:rPr>
        <w:lastRenderedPageBreak/>
        <w:t>1.</w:t>
      </w:r>
      <w:r w:rsidRPr="00FD47E4">
        <w:rPr>
          <w:rFonts w:ascii="Cambria,Bold" w:hAnsi="Cambria,Bold" w:cs="Cambria,Bold"/>
          <w:b/>
          <w:bCs/>
          <w:color w:val="548DD4" w:themeColor="text2" w:themeTint="99"/>
          <w:sz w:val="24"/>
          <w:szCs w:val="24"/>
        </w:rPr>
        <w:t xml:space="preserve"> </w:t>
      </w:r>
      <w:r w:rsidR="0034453C">
        <w:rPr>
          <w:rFonts w:ascii="Cambria,Bold" w:hAnsi="Cambria,Bold" w:cs="Cambria,Bold"/>
          <w:b/>
          <w:bCs/>
          <w:color w:val="548DD4" w:themeColor="text2" w:themeTint="99"/>
          <w:sz w:val="24"/>
          <w:szCs w:val="24"/>
        </w:rPr>
        <w:t>Introduction</w:t>
      </w:r>
    </w:p>
    <w:p w14:paraId="4EA68C50" w14:textId="77777777" w:rsidR="00674A63" w:rsidRPr="00674A63" w:rsidRDefault="005769FB" w:rsidP="006B1F81">
      <w:pPr>
        <w:jc w:val="both"/>
        <w:rPr>
          <w:rFonts w:cs="Segoe UI"/>
          <w:color w:val="000000"/>
          <w:sz w:val="20"/>
          <w:szCs w:val="20"/>
        </w:rPr>
      </w:pPr>
      <w:r>
        <w:t>En vertu des articles L</w:t>
      </w:r>
      <w:r w:rsidR="00885647">
        <w:t>. 141-4 et R. 141-1 du Code monétaire et financier, l</w:t>
      </w:r>
      <w:r w:rsidR="00E15E10" w:rsidRPr="00DF1E6E">
        <w:t xml:space="preserve">’Observatoire de la sécurité des moyens de paiement est chargé d’établir des statistiques de fraude harmonisées pour les moyens de paiement en vue de leur publication au sein de son rapport annuel disponible à l’adresse suivante : </w:t>
      </w:r>
      <w:hyperlink r:id="rId9" w:history="1">
        <w:r w:rsidR="00674A63" w:rsidRPr="00674A63">
          <w:rPr>
            <w:rStyle w:val="Lienhypertexte"/>
            <w:rFonts w:cs="Segoe UI"/>
            <w:sz w:val="20"/>
            <w:szCs w:val="20"/>
          </w:rPr>
          <w:t>https://www.banque-france.fr/liste-chronologique/rapports-dactivite</w:t>
        </w:r>
      </w:hyperlink>
      <w:r w:rsidR="00674A63">
        <w:rPr>
          <w:rFonts w:cs="Segoe UI"/>
          <w:color w:val="000000"/>
          <w:sz w:val="20"/>
          <w:szCs w:val="20"/>
        </w:rPr>
        <w:t>.</w:t>
      </w:r>
    </w:p>
    <w:p w14:paraId="6661A9FC" w14:textId="77777777" w:rsidR="00DF1E6E" w:rsidRDefault="00674A63" w:rsidP="006B1F81">
      <w:pPr>
        <w:jc w:val="both"/>
      </w:pPr>
      <w:r>
        <w:rPr>
          <w:rFonts w:ascii="Segoe UI" w:hAnsi="Segoe UI" w:cs="Segoe UI"/>
          <w:color w:val="000000"/>
          <w:sz w:val="20"/>
          <w:szCs w:val="20"/>
        </w:rPr>
        <w:t> </w:t>
      </w:r>
      <w:r w:rsidR="00C828C7">
        <w:t>À cette fin et pour ce qui concerne l</w:t>
      </w:r>
      <w:r w:rsidR="00627359">
        <w:t xml:space="preserve">a carte de paiement, </w:t>
      </w:r>
      <w:r w:rsidR="0078070D">
        <w:t>la Banque de France pour le compte d</w:t>
      </w:r>
      <w:r w:rsidR="00DD1CE2">
        <w:t>u secrétariat d</w:t>
      </w:r>
      <w:r w:rsidR="0078070D">
        <w:t xml:space="preserve">e l’Observatoire </w:t>
      </w:r>
      <w:r w:rsidR="00C828C7">
        <w:t xml:space="preserve">recueille les données permettant l’évaluation de la fraude </w:t>
      </w:r>
      <w:r w:rsidR="0078070D">
        <w:t>auprès </w:t>
      </w:r>
      <w:r w:rsidR="00527DFA">
        <w:t>d</w:t>
      </w:r>
      <w:r w:rsidR="008C5B89">
        <w:t xml:space="preserve">es déclarants que sont </w:t>
      </w:r>
      <w:r w:rsidR="0078070D">
        <w:t>:</w:t>
      </w:r>
    </w:p>
    <w:p w14:paraId="4BC308FB" w14:textId="77777777" w:rsidR="0078070D" w:rsidRPr="004F55EE" w:rsidRDefault="00527DFA" w:rsidP="0078070D">
      <w:pPr>
        <w:pStyle w:val="Paragraphedeliste"/>
        <w:numPr>
          <w:ilvl w:val="0"/>
          <w:numId w:val="7"/>
        </w:numPr>
        <w:jc w:val="both"/>
      </w:pPr>
      <w:r w:rsidRPr="004F55EE">
        <w:t>L</w:t>
      </w:r>
      <w:r w:rsidR="008C5B89" w:rsidRPr="004F55EE">
        <w:t>e</w:t>
      </w:r>
      <w:r w:rsidRPr="004F55EE">
        <w:t>s systèmes de paiement par carte interbancaires nationaux et internationaux opérant en France</w:t>
      </w:r>
      <w:r w:rsidR="003A5B61" w:rsidRPr="004F55EE">
        <w:t xml:space="preserve"> </w:t>
      </w:r>
      <w:r w:rsidR="0078070D" w:rsidRPr="004F55EE">
        <w:t>pour ce qui concerne les opérations réalisées par leurs membres ;</w:t>
      </w:r>
    </w:p>
    <w:p w14:paraId="143C5642" w14:textId="77777777" w:rsidR="0078070D" w:rsidRPr="004F55EE" w:rsidRDefault="0078070D" w:rsidP="0078070D">
      <w:pPr>
        <w:pStyle w:val="Paragraphedeliste"/>
        <w:jc w:val="both"/>
      </w:pPr>
    </w:p>
    <w:p w14:paraId="69C5E9FB" w14:textId="6A2165F4" w:rsidR="0078070D" w:rsidRPr="004F55EE" w:rsidRDefault="00007D92" w:rsidP="0078070D">
      <w:pPr>
        <w:pStyle w:val="Paragraphedeliste"/>
        <w:numPr>
          <w:ilvl w:val="0"/>
          <w:numId w:val="7"/>
        </w:numPr>
        <w:jc w:val="both"/>
      </w:pPr>
      <w:r>
        <w:t>E</w:t>
      </w:r>
      <w:r w:rsidR="008C5B89" w:rsidRPr="004F55EE">
        <w:t>t, l</w:t>
      </w:r>
      <w:r w:rsidR="0078070D" w:rsidRPr="004F55EE">
        <w:t xml:space="preserve">es émetteurs de cartes privatives </w:t>
      </w:r>
      <w:r w:rsidR="00527DFA" w:rsidRPr="004F55EE">
        <w:t xml:space="preserve">nationaux et internationaux </w:t>
      </w:r>
      <w:r w:rsidR="0078070D" w:rsidRPr="004F55EE">
        <w:t>actifs en France.</w:t>
      </w:r>
    </w:p>
    <w:p w14:paraId="68AE3160" w14:textId="77777777" w:rsidR="00734610" w:rsidRDefault="00CE0926" w:rsidP="0095453F">
      <w:pPr>
        <w:jc w:val="both"/>
      </w:pPr>
      <w:r>
        <w:t>Ce guide de rem</w:t>
      </w:r>
      <w:r w:rsidR="00B36410">
        <w:t>plissage fournit aux déclarants toutes les informations nécessaires pour répondre à cette collecte.</w:t>
      </w:r>
      <w:r w:rsidR="00FE5F26">
        <w:t xml:space="preserve"> Un glossaire sur les termes utilisés dans le guide est situé en annexe.</w:t>
      </w:r>
    </w:p>
    <w:p w14:paraId="7DA91EFD" w14:textId="77777777" w:rsidR="0095453F" w:rsidRDefault="0095453F" w:rsidP="00E15E10">
      <w:pPr>
        <w:jc w:val="both"/>
      </w:pPr>
    </w:p>
    <w:p w14:paraId="5C16DE6C" w14:textId="77777777" w:rsidR="00460704" w:rsidRDefault="00460704" w:rsidP="00E15E10">
      <w:pPr>
        <w:jc w:val="both"/>
      </w:pPr>
      <w:r>
        <w:sym w:font="Wingdings" w:char="F046"/>
      </w:r>
      <w:r w:rsidRPr="0095453F">
        <w:rPr>
          <w:u w:val="single"/>
        </w:rPr>
        <w:t>Remarque </w:t>
      </w:r>
      <w:r w:rsidR="0095453F" w:rsidRPr="0095453F">
        <w:rPr>
          <w:u w:val="single"/>
        </w:rPr>
        <w:t xml:space="preserve">aux </w:t>
      </w:r>
      <w:r w:rsidR="00E15290" w:rsidRPr="0095453F">
        <w:rPr>
          <w:u w:val="single"/>
        </w:rPr>
        <w:t xml:space="preserve">établissements émettant à la fois des cartes </w:t>
      </w:r>
      <w:r w:rsidRPr="0095453F">
        <w:rPr>
          <w:u w:val="single"/>
        </w:rPr>
        <w:t xml:space="preserve">privatives </w:t>
      </w:r>
      <w:r w:rsidR="00E15290" w:rsidRPr="0095453F">
        <w:rPr>
          <w:u w:val="single"/>
        </w:rPr>
        <w:t>et interbancaires</w:t>
      </w:r>
      <w:r w:rsidR="0095453F">
        <w:t> :</w:t>
      </w:r>
      <w:r w:rsidR="00E15290">
        <w:t xml:space="preserve"> seules les données relatives aux cartes privatives doivent </w:t>
      </w:r>
      <w:r w:rsidR="0095453F">
        <w:t xml:space="preserve">être </w:t>
      </w:r>
      <w:r w:rsidR="00E15290">
        <w:t>déclarées, celles concernant les</w:t>
      </w:r>
      <w:r>
        <w:t xml:space="preserve"> cartes interbancaires </w:t>
      </w:r>
      <w:r w:rsidR="00E15290">
        <w:t xml:space="preserve">devant être transmises par les gestionnaires des </w:t>
      </w:r>
      <w:r>
        <w:t>systèmes interbancaires</w:t>
      </w:r>
      <w:r w:rsidR="00E15290">
        <w:t xml:space="preserve"> concernés</w:t>
      </w:r>
      <w:r>
        <w:t>.</w:t>
      </w:r>
    </w:p>
    <w:p w14:paraId="62C26A58" w14:textId="77777777" w:rsidR="001752B5" w:rsidRDefault="001752B5" w:rsidP="001752B5"/>
    <w:p w14:paraId="18951D81" w14:textId="2680A36A" w:rsidR="00633383" w:rsidRPr="00555C2C" w:rsidRDefault="001752B5" w:rsidP="00633383">
      <w:pP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br w:type="page"/>
      </w:r>
      <w:r w:rsidR="00FD47E4">
        <w:rPr>
          <w:rFonts w:ascii="Cambria,Bold" w:hAnsi="Cambria,Bold" w:cs="Cambria,Bold"/>
          <w:b/>
          <w:bCs/>
          <w:color w:val="548DD4" w:themeColor="text2" w:themeTint="99"/>
          <w:sz w:val="24"/>
          <w:szCs w:val="24"/>
        </w:rPr>
        <w:lastRenderedPageBreak/>
        <w:t xml:space="preserve">2. </w:t>
      </w:r>
      <w:r w:rsidR="0034453C">
        <w:rPr>
          <w:rFonts w:ascii="Cambria,Bold" w:hAnsi="Cambria,Bold" w:cs="Cambria,Bold"/>
          <w:b/>
          <w:bCs/>
          <w:color w:val="548DD4" w:themeColor="text2" w:themeTint="99"/>
          <w:sz w:val="24"/>
          <w:szCs w:val="24"/>
        </w:rPr>
        <w:t>Présentation de la collecte</w:t>
      </w:r>
    </w:p>
    <w:p w14:paraId="6E6CEC3F" w14:textId="0CDEDE69" w:rsidR="00314637" w:rsidRDefault="0034453C" w:rsidP="001141B0">
      <w:pPr>
        <w:pStyle w:val="Paragraphedeliste"/>
        <w:numPr>
          <w:ilvl w:val="0"/>
          <w:numId w:val="6"/>
        </w:numPr>
        <w:ind w:left="284" w:hanging="284"/>
        <w:jc w:val="both"/>
      </w:pPr>
      <w:r w:rsidRPr="00314637">
        <w:rPr>
          <w:b/>
          <w:i/>
        </w:rPr>
        <w:t>Nature des données</w:t>
      </w:r>
      <w:r w:rsidR="00465031" w:rsidRPr="00314637">
        <w:rPr>
          <w:b/>
        </w:rPr>
        <w:t xml:space="preserve"> </w:t>
      </w:r>
      <w:r w:rsidRPr="00314637">
        <w:rPr>
          <w:b/>
        </w:rPr>
        <w:t>collectées</w:t>
      </w:r>
      <w:r>
        <w:t xml:space="preserve"> </w:t>
      </w:r>
      <w:r w:rsidR="00A60E76">
        <w:t>:</w:t>
      </w:r>
      <w:r w:rsidR="007A5DC7">
        <w:t xml:space="preserve"> elles portent sur le nombre et le montant des transactions frauduleuses ainsi que sur le nombre et le montant total des transactions dans le but de calculer les taux de fraude. Les transactions concernées sont toutes les transactions de paiement</w:t>
      </w:r>
      <w:r w:rsidR="00CB0367">
        <w:t xml:space="preserve"> (de proximité et à distance) et de retrait effectuées par carte de paiement et réalisées en France </w:t>
      </w:r>
      <w:r w:rsidR="00CB0367" w:rsidRPr="00C374E1">
        <w:t>et à l’étranger</w:t>
      </w:r>
      <w:r w:rsidR="00CB0367" w:rsidRPr="00314637">
        <w:rPr>
          <w:b/>
        </w:rPr>
        <w:t xml:space="preserve"> dès lors que l’une des contreparties de la transaction est considérée comme française</w:t>
      </w:r>
      <w:r w:rsidR="00CB0367">
        <w:t> : carte émise par un établissement français ou transaction acceptée en France (commerçant établi en France ou DAB/GAB installé en France).</w:t>
      </w:r>
      <w:r w:rsidR="006D3C0D">
        <w:t xml:space="preserve"> </w:t>
      </w:r>
      <w:r w:rsidR="00314637" w:rsidRPr="00314637">
        <w:t xml:space="preserve">Les données de cartes de monnaie électronique, donc les cartes prépayées, sont </w:t>
      </w:r>
      <w:r w:rsidR="00314637">
        <w:t xml:space="preserve">dorénavant </w:t>
      </w:r>
      <w:r w:rsidR="00314637" w:rsidRPr="00314637">
        <w:t>exclues de la collecte.</w:t>
      </w:r>
    </w:p>
    <w:p w14:paraId="4D83458A" w14:textId="77777777" w:rsidR="00314637" w:rsidRDefault="00314637" w:rsidP="00314637">
      <w:pPr>
        <w:pStyle w:val="Paragraphedeliste"/>
        <w:ind w:left="284"/>
        <w:jc w:val="both"/>
      </w:pPr>
    </w:p>
    <w:p w14:paraId="1E205981" w14:textId="77777777" w:rsidR="00FC61F3" w:rsidRPr="00504AF2" w:rsidRDefault="00504AF2" w:rsidP="00504AF2">
      <w:pPr>
        <w:pStyle w:val="Paragraphedeliste"/>
        <w:numPr>
          <w:ilvl w:val="0"/>
          <w:numId w:val="6"/>
        </w:numPr>
        <w:ind w:left="284" w:hanging="284"/>
        <w:jc w:val="both"/>
      </w:pPr>
      <w:r w:rsidRPr="00504AF2">
        <w:rPr>
          <w:b/>
          <w:i/>
        </w:rPr>
        <w:t>Présentation des données collectées</w:t>
      </w:r>
      <w:r w:rsidRPr="00504AF2">
        <w:rPr>
          <w:i/>
        </w:rPr>
        <w:t> </w:t>
      </w:r>
      <w:r w:rsidRPr="00504AF2">
        <w:t xml:space="preserve">: les données </w:t>
      </w:r>
      <w:r w:rsidR="00465031" w:rsidRPr="00504AF2">
        <w:t xml:space="preserve">en </w:t>
      </w:r>
      <w:r w:rsidR="00FC61F3" w:rsidRPr="00504AF2">
        <w:t xml:space="preserve">volume doivent être déclarées en unités et celles exprimées en valeur en euros. Si les données sources sont </w:t>
      </w:r>
      <w:r w:rsidR="00C5609F" w:rsidRPr="00504AF2">
        <w:t xml:space="preserve">dans une </w:t>
      </w:r>
      <w:r w:rsidR="00FC61F3" w:rsidRPr="00504AF2">
        <w:t>autre devise, il convient de les convertir en euros en utilisant de préférence les taux de change publiés par la BCE (</w:t>
      </w:r>
      <w:r w:rsidR="00FC61F3" w:rsidRPr="003A5B61">
        <w:rPr>
          <w:i/>
        </w:rPr>
        <w:t>ww.ecb.int, Euro foreign exchange reference rates</w:t>
      </w:r>
      <w:r w:rsidR="00FC61F3" w:rsidRPr="00504AF2">
        <w:t>). Il est précisé que la BCE publie les taux de conversion pour chaque jour ouvré du calendrier ainsi que des moyennes mensuelles, trimestrielles et semestrielles.</w:t>
      </w:r>
    </w:p>
    <w:p w14:paraId="5A166ECC" w14:textId="77777777" w:rsidR="005F5861" w:rsidRDefault="005F5861" w:rsidP="005F5861">
      <w:pPr>
        <w:pStyle w:val="Paragraphedeliste"/>
      </w:pPr>
    </w:p>
    <w:p w14:paraId="29A56625" w14:textId="77777777" w:rsidR="005F5861" w:rsidRDefault="00C64E5A" w:rsidP="00504AF2">
      <w:pPr>
        <w:pStyle w:val="Paragraphedeliste"/>
        <w:numPr>
          <w:ilvl w:val="0"/>
          <w:numId w:val="6"/>
        </w:numPr>
        <w:ind w:left="284" w:hanging="284"/>
        <w:jc w:val="both"/>
      </w:pPr>
      <w:r w:rsidRPr="00504AF2">
        <w:rPr>
          <w:b/>
          <w:i/>
        </w:rPr>
        <w:t xml:space="preserve">Date </w:t>
      </w:r>
      <w:r w:rsidR="00504AF2">
        <w:rPr>
          <w:b/>
          <w:i/>
        </w:rPr>
        <w:t xml:space="preserve">de référence </w:t>
      </w:r>
      <w:r w:rsidR="002A4C86">
        <w:rPr>
          <w:b/>
          <w:i/>
        </w:rPr>
        <w:t>des données collectées</w:t>
      </w:r>
      <w:r w:rsidR="00504AF2">
        <w:rPr>
          <w:b/>
          <w:i/>
        </w:rPr>
        <w:t xml:space="preserve"> : </w:t>
      </w:r>
      <w:r w:rsidR="00504AF2">
        <w:t xml:space="preserve">il convient de retenir la </w:t>
      </w:r>
      <w:r w:rsidRPr="00504AF2">
        <w:t>date d’exécution de l’opération frauduleuse et non la date à laquelle la fraude a été découverte</w:t>
      </w:r>
      <w:r w:rsidR="003A5B61">
        <w:t>/</w:t>
      </w:r>
      <w:r w:rsidRPr="00504AF2">
        <w:t xml:space="preserve">déclarée ou celle à laquelle </w:t>
      </w:r>
      <w:r w:rsidR="00527DFA" w:rsidRPr="00504AF2">
        <w:t xml:space="preserve">le vol de la carte ou des données de carte </w:t>
      </w:r>
      <w:r w:rsidRPr="00504AF2">
        <w:t>a eu lieu.</w:t>
      </w:r>
    </w:p>
    <w:p w14:paraId="494C71B5" w14:textId="77777777" w:rsidR="001363AC" w:rsidRDefault="001363AC" w:rsidP="001363AC">
      <w:pPr>
        <w:pStyle w:val="Paragraphedeliste"/>
      </w:pPr>
    </w:p>
    <w:p w14:paraId="14B3058C" w14:textId="7CDA9CA1" w:rsidR="005032EA" w:rsidRDefault="00CE26CD" w:rsidP="003A5B61">
      <w:pPr>
        <w:pStyle w:val="Paragraphedeliste"/>
        <w:numPr>
          <w:ilvl w:val="0"/>
          <w:numId w:val="6"/>
        </w:numPr>
        <w:ind w:left="284" w:hanging="284"/>
        <w:jc w:val="both"/>
      </w:pPr>
      <w:r w:rsidRPr="003A5B61">
        <w:rPr>
          <w:b/>
          <w:i/>
        </w:rPr>
        <w:t xml:space="preserve">Zones </w:t>
      </w:r>
      <w:r w:rsidR="001363AC" w:rsidRPr="003A5B61">
        <w:rPr>
          <w:b/>
          <w:i/>
        </w:rPr>
        <w:t>géographique</w:t>
      </w:r>
      <w:r w:rsidRPr="003A5B61">
        <w:rPr>
          <w:b/>
          <w:i/>
        </w:rPr>
        <w:t>s de la collecte</w:t>
      </w:r>
      <w:r w:rsidR="001363AC">
        <w:t> :</w:t>
      </w:r>
      <w:r w:rsidR="005032EA">
        <w:t xml:space="preserve"> les données de transaction et de fraude sont </w:t>
      </w:r>
      <w:r w:rsidR="003A5B61">
        <w:t>à ventiler</w:t>
      </w:r>
      <w:r w:rsidR="005032EA">
        <w:t xml:space="preserve"> en trois zones géographiques distinctes</w:t>
      </w:r>
      <w:r w:rsidR="003A5B61">
        <w:t> : « France », « </w:t>
      </w:r>
      <w:r w:rsidR="00AB01D4">
        <w:t xml:space="preserve">Étranger au </w:t>
      </w:r>
      <w:r w:rsidR="003A5B61">
        <w:t>se</w:t>
      </w:r>
      <w:r w:rsidR="00AB01D4">
        <w:t>in de</w:t>
      </w:r>
      <w:r w:rsidR="003A5B61">
        <w:t xml:space="preserve"> </w:t>
      </w:r>
      <w:r w:rsidR="00AB01D4">
        <w:t>l’</w:t>
      </w:r>
      <w:r w:rsidR="007D0E75">
        <w:t>EEE</w:t>
      </w:r>
      <w:r w:rsidR="00AB01D4">
        <w:t> »</w:t>
      </w:r>
      <w:r w:rsidR="003A5B61">
        <w:t xml:space="preserve"> </w:t>
      </w:r>
      <w:r w:rsidR="00AB01D4">
        <w:t>(</w:t>
      </w:r>
      <w:r w:rsidR="003A5B61">
        <w:t>hors France</w:t>
      </w:r>
      <w:r w:rsidR="00AB01D4">
        <w:t>)</w:t>
      </w:r>
      <w:r w:rsidR="003A5B61">
        <w:t xml:space="preserve"> et « </w:t>
      </w:r>
      <w:r w:rsidR="00AB01D4">
        <w:t>Étranger</w:t>
      </w:r>
      <w:r w:rsidR="007D0E75">
        <w:t xml:space="preserve"> hors EEE</w:t>
      </w:r>
      <w:r w:rsidR="003A5B61">
        <w:t xml:space="preserve"> ». Cette ventilation s’opère en fonction </w:t>
      </w:r>
      <w:r w:rsidR="005032EA">
        <w:t>d</w:t>
      </w:r>
      <w:r w:rsidR="00287DEB">
        <w:t>es</w:t>
      </w:r>
      <w:r w:rsidR="005032EA">
        <w:t xml:space="preserve"> pays où </w:t>
      </w:r>
      <w:r w:rsidR="00287DEB">
        <w:t xml:space="preserve">sont </w:t>
      </w:r>
      <w:r w:rsidR="005032EA">
        <w:t>établi</w:t>
      </w:r>
      <w:r w:rsidR="00287DEB">
        <w:t>s respectivement</w:t>
      </w:r>
      <w:r w:rsidR="005032EA">
        <w:t xml:space="preserve"> l’émetteur de la carte et </w:t>
      </w:r>
      <w:r w:rsidR="00287DEB">
        <w:t>l’accepteur de la transaction (</w:t>
      </w:r>
      <w:r w:rsidR="00023618">
        <w:t>commerçant ou DAB/GAB)</w:t>
      </w:r>
      <w:r w:rsidR="005032EA">
        <w:t>,</w:t>
      </w:r>
      <w:r w:rsidR="003A5B61">
        <w:t xml:space="preserve"> </w:t>
      </w:r>
      <w:r w:rsidR="005032EA" w:rsidRPr="00B8626D">
        <w:rPr>
          <w:b/>
        </w:rPr>
        <w:t>sans chevauchement</w:t>
      </w:r>
      <w:r w:rsidR="005032EA">
        <w:t>, pour éviter les doubles comptes des transactions et de la fraude</w:t>
      </w:r>
      <w:r w:rsidR="003A5B61">
        <w:t>. Le</w:t>
      </w:r>
      <w:r w:rsidR="002C5B28">
        <w:t>s</w:t>
      </w:r>
      <w:r w:rsidR="003A5B61">
        <w:t xml:space="preserve"> périmètre</w:t>
      </w:r>
      <w:r w:rsidR="002C5B28">
        <w:t>s</w:t>
      </w:r>
      <w:r w:rsidR="005032EA">
        <w:t xml:space="preserve"> de</w:t>
      </w:r>
      <w:r w:rsidR="002C5B28">
        <w:t>s</w:t>
      </w:r>
      <w:r w:rsidR="005032EA">
        <w:t xml:space="preserve"> zone</w:t>
      </w:r>
      <w:r w:rsidR="002C5B28">
        <w:t>s France et</w:t>
      </w:r>
      <w:r w:rsidR="005032EA">
        <w:t xml:space="preserve"> </w:t>
      </w:r>
      <w:r w:rsidR="002C5B28">
        <w:t>EEE</w:t>
      </w:r>
      <w:r w:rsidR="005032EA">
        <w:t xml:space="preserve"> </w:t>
      </w:r>
      <w:r w:rsidR="002C5B28">
        <w:t>sont</w:t>
      </w:r>
      <w:r w:rsidR="005032EA">
        <w:t xml:space="preserve"> précisé</w:t>
      </w:r>
      <w:r w:rsidR="002C5B28">
        <w:t xml:space="preserve">s </w:t>
      </w:r>
      <w:r w:rsidR="005032EA">
        <w:t>en annexe.</w:t>
      </w:r>
    </w:p>
    <w:p w14:paraId="32E888B4" w14:textId="77777777" w:rsidR="007D0E75" w:rsidRDefault="007D0E75" w:rsidP="007D0E75">
      <w:pPr>
        <w:pStyle w:val="Paragraphedeliste"/>
      </w:pPr>
    </w:p>
    <w:p w14:paraId="141DF8F3" w14:textId="77777777" w:rsidR="001752B5" w:rsidRDefault="001752B5">
      <w:pPr>
        <w:rPr>
          <w:b/>
          <w:i/>
        </w:rPr>
      </w:pPr>
      <w:r>
        <w:rPr>
          <w:b/>
          <w:i/>
        </w:rPr>
        <w:br w:type="page"/>
      </w:r>
    </w:p>
    <w:p w14:paraId="1DD127C0" w14:textId="0449891E" w:rsidR="00074E0B" w:rsidRDefault="007B315F" w:rsidP="00504AF2">
      <w:pPr>
        <w:pStyle w:val="Paragraphedeliste"/>
        <w:numPr>
          <w:ilvl w:val="0"/>
          <w:numId w:val="6"/>
        </w:numPr>
        <w:ind w:left="284" w:hanging="284"/>
        <w:jc w:val="both"/>
        <w:rPr>
          <w:b/>
          <w:i/>
        </w:rPr>
      </w:pPr>
      <w:r>
        <w:rPr>
          <w:b/>
          <w:i/>
        </w:rPr>
        <w:lastRenderedPageBreak/>
        <w:t xml:space="preserve">Évaluation de </w:t>
      </w:r>
      <w:r w:rsidR="00DE67D1" w:rsidRPr="00504AF2">
        <w:rPr>
          <w:b/>
          <w:i/>
        </w:rPr>
        <w:t>la fraude :</w:t>
      </w:r>
    </w:p>
    <w:p w14:paraId="7BEEB9BA" w14:textId="77777777" w:rsidR="007B315F" w:rsidRPr="007B315F" w:rsidRDefault="007B315F" w:rsidP="007B315F">
      <w:pPr>
        <w:pStyle w:val="Paragraphedeliste"/>
        <w:rPr>
          <w:b/>
          <w:i/>
        </w:rPr>
      </w:pPr>
    </w:p>
    <w:p w14:paraId="105811A1" w14:textId="77777777" w:rsidR="007B315F" w:rsidRPr="00504AF2" w:rsidRDefault="007B315F" w:rsidP="007B315F">
      <w:pPr>
        <w:pStyle w:val="Paragraphedeliste"/>
        <w:numPr>
          <w:ilvl w:val="1"/>
          <w:numId w:val="6"/>
        </w:numPr>
        <w:jc w:val="both"/>
        <w:rPr>
          <w:b/>
          <w:i/>
        </w:rPr>
      </w:pPr>
      <w:r>
        <w:rPr>
          <w:b/>
          <w:i/>
        </w:rPr>
        <w:t>Définition de la fraude :</w:t>
      </w:r>
    </w:p>
    <w:tbl>
      <w:tblPr>
        <w:tblStyle w:val="Grilledutableau"/>
        <w:tblW w:w="0" w:type="auto"/>
        <w:tblInd w:w="851" w:type="dxa"/>
        <w:tblLook w:val="04A0" w:firstRow="1" w:lastRow="0" w:firstColumn="1" w:lastColumn="0" w:noHBand="0" w:noVBand="1"/>
      </w:tblPr>
      <w:tblGrid>
        <w:gridCol w:w="8354"/>
      </w:tblGrid>
      <w:tr w:rsidR="00074E0B" w14:paraId="2A706DFE" w14:textId="77777777" w:rsidTr="00074E0B">
        <w:tc>
          <w:tcPr>
            <w:tcW w:w="9212" w:type="dxa"/>
          </w:tcPr>
          <w:p w14:paraId="1DA9071C" w14:textId="77777777" w:rsidR="00074E0B" w:rsidRDefault="00655B73" w:rsidP="00074E0B">
            <w:pPr>
              <w:ind w:left="360"/>
              <w:jc w:val="both"/>
            </w:pPr>
            <w:r>
              <w:t>La fraude est définie comme l’</w:t>
            </w:r>
            <w:r w:rsidR="00074E0B" w:rsidRPr="00074E0B">
              <w:t>utilisation illégitime d’une carte de paiement ou des données qui lui sont attachées, ainsi que tout acte concourant à la préparation ou à la réalisation d’une telle utilisation :</w:t>
            </w:r>
          </w:p>
          <w:p w14:paraId="78828ACB" w14:textId="77777777" w:rsidR="00655B73" w:rsidRPr="00074E0B" w:rsidRDefault="00655B73" w:rsidP="00074E0B">
            <w:pPr>
              <w:ind w:left="360"/>
              <w:jc w:val="both"/>
            </w:pPr>
          </w:p>
          <w:p w14:paraId="431394D8" w14:textId="77777777" w:rsidR="00074E0B" w:rsidRDefault="00074E0B" w:rsidP="00074E0B">
            <w:pPr>
              <w:numPr>
                <w:ilvl w:val="0"/>
                <w:numId w:val="16"/>
              </w:numPr>
              <w:tabs>
                <w:tab w:val="num" w:pos="1080"/>
              </w:tabs>
              <w:ind w:left="1080"/>
              <w:jc w:val="both"/>
            </w:pPr>
            <w:r w:rsidRPr="00655B73">
              <w:rPr>
                <w:b/>
              </w:rPr>
              <w:t xml:space="preserve">ayant pour conséquence un préjudice </w:t>
            </w:r>
            <w:r w:rsidR="00655B73">
              <w:rPr>
                <w:b/>
              </w:rPr>
              <w:t xml:space="preserve">financier : </w:t>
            </w:r>
            <w:r w:rsidRPr="00074E0B">
              <w:t>pour l</w:t>
            </w:r>
            <w:r w:rsidR="00655B73">
              <w:t xml:space="preserve">’établissement teneur de compte </w:t>
            </w:r>
            <w:r w:rsidRPr="00074E0B">
              <w:t>qu’il s’agisse du banquier du porteur de la carte ou de celui de l’accepteur (commerçant, administration… pour son propre compte ou au sein d’un système de paiement), le porteur, l’accepteur, l’émetteur, un assureur, un tiers de confiance ou tout intervenant dans la chaîne de conception, de fabrication, de transport, de distribution de données physiques ou logiques, dont la responsabilité civile, commerciale ou pénale pourrait être engagée ;</w:t>
            </w:r>
          </w:p>
          <w:p w14:paraId="6141E920" w14:textId="77777777" w:rsidR="00655B73" w:rsidRPr="00074E0B" w:rsidRDefault="00655B73" w:rsidP="00655B73">
            <w:pPr>
              <w:tabs>
                <w:tab w:val="num" w:pos="1080"/>
              </w:tabs>
              <w:ind w:left="1080"/>
              <w:jc w:val="both"/>
            </w:pPr>
          </w:p>
          <w:p w14:paraId="3899557B" w14:textId="77777777" w:rsidR="00074E0B" w:rsidRPr="00655B73" w:rsidRDefault="00074E0B" w:rsidP="00074E0B">
            <w:pPr>
              <w:numPr>
                <w:ilvl w:val="0"/>
                <w:numId w:val="16"/>
              </w:numPr>
              <w:ind w:left="1080"/>
              <w:jc w:val="both"/>
              <w:rPr>
                <w:b/>
              </w:rPr>
            </w:pPr>
            <w:r w:rsidRPr="00655B73">
              <w:rPr>
                <w:b/>
              </w:rPr>
              <w:t>quel</w:t>
            </w:r>
            <w:r w:rsidR="00655B73" w:rsidRPr="00655B73">
              <w:rPr>
                <w:b/>
              </w:rPr>
              <w:t xml:space="preserve"> que soit le mode opératoire retenu </w:t>
            </w:r>
            <w:r w:rsidRPr="00655B73">
              <w:rPr>
                <w:b/>
              </w:rPr>
              <w:t>:</w:t>
            </w:r>
          </w:p>
          <w:p w14:paraId="6D7115E4" w14:textId="77777777" w:rsidR="00074E0B" w:rsidRPr="00074E0B" w:rsidRDefault="00074E0B" w:rsidP="00C51D75">
            <w:pPr>
              <w:numPr>
                <w:ilvl w:val="1"/>
                <w:numId w:val="16"/>
              </w:numPr>
              <w:ind w:left="1701"/>
              <w:jc w:val="both"/>
            </w:pPr>
            <w:r w:rsidRPr="00074E0B">
              <w:t>les moyens employés pour récupérer, sans motif légitime, les données ou le support de la carte (vol, détournement du support de la carte, des données physiques ou logiques, des données de personnalisation et/ou récupération du code secret, et/ou du cryptogramme, piratage de la pist</w:t>
            </w:r>
            <w:r w:rsidR="0003646D">
              <w:t>e magnétique et/ou de la puce…) ;</w:t>
            </w:r>
          </w:p>
          <w:p w14:paraId="2661AD3D" w14:textId="77777777" w:rsidR="00074E0B" w:rsidRPr="00074E0B" w:rsidRDefault="00074E0B" w:rsidP="00C51D75">
            <w:pPr>
              <w:numPr>
                <w:ilvl w:val="1"/>
                <w:numId w:val="16"/>
              </w:numPr>
              <w:ind w:left="1701"/>
              <w:jc w:val="both"/>
            </w:pPr>
            <w:r w:rsidRPr="00074E0B">
              <w:t>les modalités d’utilisation de la carte ou des données qui lui sont attachées (paiement</w:t>
            </w:r>
            <w:r w:rsidR="007D4469">
              <w:t>/</w:t>
            </w:r>
            <w:r w:rsidRPr="00074E0B">
              <w:t>retrait</w:t>
            </w:r>
            <w:r w:rsidR="007D4469">
              <w:t xml:space="preserve"> en situation de pro</w:t>
            </w:r>
            <w:r w:rsidRPr="00074E0B">
              <w:t>ximité ou à distance</w:t>
            </w:r>
            <w:r w:rsidR="007D4469">
              <w:t>,</w:t>
            </w:r>
            <w:r w:rsidRPr="00074E0B">
              <w:t xml:space="preserve"> par utilisation physique de la carte ou du </w:t>
            </w:r>
            <w:r w:rsidR="0003646D">
              <w:t>numéro de carte, sur automate…) ;</w:t>
            </w:r>
          </w:p>
          <w:p w14:paraId="0C3FB5BC" w14:textId="77777777" w:rsidR="00074E0B" w:rsidRPr="00074E0B" w:rsidRDefault="00074E0B" w:rsidP="00C51D75">
            <w:pPr>
              <w:numPr>
                <w:ilvl w:val="1"/>
                <w:numId w:val="16"/>
              </w:numPr>
              <w:ind w:left="1701"/>
              <w:jc w:val="both"/>
            </w:pPr>
            <w:r w:rsidRPr="00074E0B">
              <w:t>la zone géographique d’émission ou d’utilisation de la carte ou des données qui lui sont attachées</w:t>
            </w:r>
            <w:r w:rsidR="0003646D">
              <w:t xml:space="preserve"> </w:t>
            </w:r>
            <w:r w:rsidRPr="00074E0B">
              <w:t>;</w:t>
            </w:r>
          </w:p>
          <w:p w14:paraId="3C8FB46C" w14:textId="7B5111A6" w:rsidR="00655B73" w:rsidRPr="00074E0B" w:rsidRDefault="002E6800" w:rsidP="00B02CD6">
            <w:pPr>
              <w:numPr>
                <w:ilvl w:val="1"/>
                <w:numId w:val="16"/>
              </w:numPr>
              <w:ind w:left="1701"/>
              <w:jc w:val="both"/>
            </w:pPr>
            <w:r>
              <w:t xml:space="preserve">le type de carte de paiement ; </w:t>
            </w:r>
          </w:p>
          <w:p w14:paraId="70095492" w14:textId="77777777" w:rsidR="00074E0B" w:rsidRPr="00074E0B" w:rsidRDefault="00655B73" w:rsidP="00074E0B">
            <w:pPr>
              <w:numPr>
                <w:ilvl w:val="0"/>
                <w:numId w:val="16"/>
              </w:numPr>
              <w:ind w:left="1080"/>
              <w:jc w:val="both"/>
            </w:pPr>
            <w:r w:rsidRPr="00655B73">
              <w:rPr>
                <w:b/>
              </w:rPr>
              <w:t>et, quelle que soit l’identité du fraudeur</w:t>
            </w:r>
            <w:r>
              <w:t xml:space="preserve"> : </w:t>
            </w:r>
            <w:r w:rsidR="00074E0B" w:rsidRPr="00074E0B">
              <w:t>un tiers, le banquier teneur de compte, le porteur de la carte lui-même (dans le cas par exemple d’une utilisation après déclaration de vol ou de perte, ou d’une dénonciation abusive de transactions), l’accepteur, l’émetteur, un assureur, un tiers de confiance</w:t>
            </w:r>
            <w:r>
              <w:t>, etc.</w:t>
            </w:r>
          </w:p>
          <w:p w14:paraId="30FE64DE" w14:textId="77777777" w:rsidR="00074E0B" w:rsidRDefault="00074E0B" w:rsidP="00074E0B">
            <w:pPr>
              <w:pStyle w:val="Paragraphedeliste"/>
              <w:ind w:left="0"/>
              <w:jc w:val="both"/>
            </w:pPr>
          </w:p>
        </w:tc>
      </w:tr>
    </w:tbl>
    <w:p w14:paraId="36387ED8" w14:textId="77777777" w:rsidR="00074E0B" w:rsidRDefault="00074E0B" w:rsidP="00074E0B">
      <w:pPr>
        <w:pStyle w:val="Paragraphedeliste"/>
        <w:ind w:left="851"/>
        <w:jc w:val="both"/>
      </w:pPr>
    </w:p>
    <w:p w14:paraId="3066E894" w14:textId="77777777" w:rsidR="00B07630" w:rsidRPr="007B315F" w:rsidRDefault="007B315F" w:rsidP="007B315F">
      <w:pPr>
        <w:pStyle w:val="Paragraphedeliste"/>
        <w:numPr>
          <w:ilvl w:val="1"/>
          <w:numId w:val="6"/>
        </w:numPr>
        <w:jc w:val="both"/>
      </w:pPr>
      <w:r w:rsidRPr="00D51199">
        <w:rPr>
          <w:b/>
          <w:i/>
        </w:rPr>
        <w:t>Ap</w:t>
      </w:r>
      <w:r w:rsidR="00D447D2" w:rsidRPr="00D51199">
        <w:rPr>
          <w:b/>
          <w:i/>
        </w:rPr>
        <w:t>proche « fraude brute »</w:t>
      </w:r>
      <w:r w:rsidRPr="00D51199">
        <w:rPr>
          <w:b/>
          <w:i/>
        </w:rPr>
        <w:t> :</w:t>
      </w:r>
      <w:r w:rsidR="00D447D2" w:rsidRPr="00D51199">
        <w:rPr>
          <w:b/>
          <w:i/>
        </w:rPr>
        <w:t xml:space="preserve"> </w:t>
      </w:r>
      <w:r w:rsidR="009B1945">
        <w:t xml:space="preserve">la fraude doit être évaluée selon cette </w:t>
      </w:r>
      <w:r w:rsidR="00D51199">
        <w:t xml:space="preserve">approche </w:t>
      </w:r>
      <w:r w:rsidR="009B1945">
        <w:t xml:space="preserve">(par opposition à l’approche « fraude nette ») qui </w:t>
      </w:r>
      <w:r w:rsidR="00D51199">
        <w:t xml:space="preserve">consiste à </w:t>
      </w:r>
      <w:r w:rsidR="009B1945">
        <w:t xml:space="preserve">prendre </w:t>
      </w:r>
      <w:r w:rsidR="00D51199">
        <w:t xml:space="preserve">en compte </w:t>
      </w:r>
      <w:r w:rsidR="00310446">
        <w:t xml:space="preserve">(i) </w:t>
      </w:r>
      <w:r w:rsidR="00D51199">
        <w:t xml:space="preserve">l’ensemble des transactions autorisées </w:t>
      </w:r>
      <w:r w:rsidR="00310446">
        <w:t xml:space="preserve">(ii) </w:t>
      </w:r>
      <w:r w:rsidR="00D447D2" w:rsidRPr="007B315F">
        <w:t>ayant ensuite fait l’objet d’un rejet a posteriori pour motif de fraude</w:t>
      </w:r>
      <w:r w:rsidR="00FD1A83" w:rsidRPr="007B315F">
        <w:t xml:space="preserve"> </w:t>
      </w:r>
      <w:r w:rsidR="00D51199">
        <w:t xml:space="preserve">et </w:t>
      </w:r>
      <w:r w:rsidR="00310446">
        <w:t xml:space="preserve">(iii) </w:t>
      </w:r>
      <w:r w:rsidR="00FD1A83" w:rsidRPr="007B315F">
        <w:t xml:space="preserve">pour leur montant initial sans prise en compte </w:t>
      </w:r>
      <w:r w:rsidR="00F439B7" w:rsidRPr="007B315F">
        <w:t>des mesures prises ultérieurement par les contreparties en vue de réduire le préjudice. Les tentatives de fraude ou « fraude déjouée » (fraude stoppée avant exécution de l’opération) sont à exclure de la déclaration.</w:t>
      </w:r>
      <w:r w:rsidR="007D4469">
        <w:t xml:space="preserve"> </w:t>
      </w:r>
    </w:p>
    <w:p w14:paraId="2F666937" w14:textId="77777777" w:rsidR="00DE6F05" w:rsidRDefault="00DE6F05"/>
    <w:p w14:paraId="32B21164" w14:textId="77777777" w:rsidR="001752B5" w:rsidRDefault="001752B5">
      <w:pP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br w:type="page"/>
      </w:r>
    </w:p>
    <w:p w14:paraId="3C9F979C" w14:textId="2763975A" w:rsidR="007B315F" w:rsidRPr="00555C2C" w:rsidRDefault="007B315F" w:rsidP="007B315F">
      <w:pP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lastRenderedPageBreak/>
        <w:t>3. Calendrier et communication de la collecte</w:t>
      </w:r>
    </w:p>
    <w:p w14:paraId="5188106A" w14:textId="32CBD9F1" w:rsidR="007D0E75" w:rsidRDefault="007B315F" w:rsidP="007D0E75">
      <w:pPr>
        <w:pStyle w:val="Paragraphedeliste"/>
        <w:numPr>
          <w:ilvl w:val="0"/>
          <w:numId w:val="6"/>
        </w:numPr>
        <w:ind w:left="284" w:hanging="284"/>
        <w:jc w:val="both"/>
      </w:pPr>
      <w:r w:rsidRPr="007D0E75">
        <w:rPr>
          <w:b/>
          <w:i/>
        </w:rPr>
        <w:t>Calendrier </w:t>
      </w:r>
      <w:r w:rsidRPr="007D0E75">
        <w:rPr>
          <w:i/>
        </w:rPr>
        <w:t xml:space="preserve">: </w:t>
      </w:r>
      <w:r w:rsidRPr="007D0E75">
        <w:t xml:space="preserve">la collecte est </w:t>
      </w:r>
      <w:r w:rsidR="007D0E75">
        <w:t>semestrielle et les périodes de collecte s’étendent pour les données :</w:t>
      </w:r>
      <w:r w:rsidR="005623AD">
        <w:t xml:space="preserve"> </w:t>
      </w:r>
    </w:p>
    <w:p w14:paraId="5174D049" w14:textId="77777777" w:rsidR="00CB1D23" w:rsidRDefault="00CB1D23" w:rsidP="00CB1D23">
      <w:pPr>
        <w:pStyle w:val="Paragraphedeliste"/>
        <w:ind w:left="284"/>
        <w:jc w:val="both"/>
      </w:pPr>
    </w:p>
    <w:p w14:paraId="6BEA9D0E" w14:textId="77777777" w:rsidR="007D0E75" w:rsidRDefault="007D0E75" w:rsidP="007D0E75">
      <w:pPr>
        <w:pStyle w:val="Paragraphedeliste"/>
        <w:numPr>
          <w:ilvl w:val="0"/>
          <w:numId w:val="20"/>
        </w:numPr>
        <w:jc w:val="both"/>
      </w:pPr>
      <w:r>
        <w:t>Du premier semestre (période de janvier à juin) du 1</w:t>
      </w:r>
      <w:r w:rsidRPr="00FF57F7">
        <w:rPr>
          <w:vertAlign w:val="superscript"/>
        </w:rPr>
        <w:t>er</w:t>
      </w:r>
      <w:r>
        <w:t xml:space="preserve"> jour ouvrable d’août au dernier ouvrable d’octobre ;</w:t>
      </w:r>
    </w:p>
    <w:p w14:paraId="2298072B" w14:textId="77777777" w:rsidR="007D0E75" w:rsidRDefault="007D0E75" w:rsidP="007D0E75">
      <w:pPr>
        <w:pStyle w:val="Paragraphedeliste"/>
        <w:numPr>
          <w:ilvl w:val="0"/>
          <w:numId w:val="20"/>
        </w:numPr>
        <w:jc w:val="both"/>
      </w:pPr>
      <w:r>
        <w:t>Du second semestre (période de juillet à décembre) du 1</w:t>
      </w:r>
      <w:r w:rsidRPr="00FF57F7">
        <w:rPr>
          <w:vertAlign w:val="superscript"/>
        </w:rPr>
        <w:t>er</w:t>
      </w:r>
      <w:r>
        <w:t xml:space="preserve"> jour ouvrable de février au dernier jour ouvrable d’avril.</w:t>
      </w:r>
    </w:p>
    <w:p w14:paraId="3D57B172" w14:textId="77777777" w:rsidR="007D0E75" w:rsidRPr="007D0E75" w:rsidRDefault="007D0E75" w:rsidP="007D0E75">
      <w:pPr>
        <w:pStyle w:val="Paragraphedeliste"/>
        <w:ind w:left="644"/>
        <w:jc w:val="both"/>
      </w:pPr>
    </w:p>
    <w:p w14:paraId="683F3E6D" w14:textId="70670AB6" w:rsidR="00E34DB1" w:rsidRDefault="007D0E75" w:rsidP="007D0E75">
      <w:pPr>
        <w:pStyle w:val="Paragraphedeliste"/>
        <w:ind w:left="284"/>
        <w:jc w:val="both"/>
      </w:pPr>
      <w:r>
        <w:t>L</w:t>
      </w:r>
      <w:r w:rsidR="006F4546">
        <w:t xml:space="preserve">es déclarants sont informés de </w:t>
      </w:r>
      <w:r>
        <w:t>l’o</w:t>
      </w:r>
      <w:r w:rsidR="006F4546">
        <w:t xml:space="preserve">uverture </w:t>
      </w:r>
      <w:r>
        <w:t xml:space="preserve">des collectes </w:t>
      </w:r>
      <w:r w:rsidR="006F4546">
        <w:t>directement par l</w:t>
      </w:r>
      <w:r>
        <w:t>e secrétariat de l’OSMP.</w:t>
      </w:r>
      <w:r w:rsidR="00AC39E9">
        <w:t xml:space="preserve"> </w:t>
      </w:r>
    </w:p>
    <w:p w14:paraId="5D4AB789" w14:textId="77777777" w:rsidR="00CD7FF3" w:rsidRDefault="00CD7FF3" w:rsidP="007D0E75">
      <w:pPr>
        <w:pStyle w:val="Paragraphedeliste"/>
        <w:ind w:left="284"/>
        <w:jc w:val="both"/>
      </w:pPr>
    </w:p>
    <w:p w14:paraId="166FD7BE" w14:textId="18852863" w:rsidR="00046825" w:rsidRDefault="00CD7FF3" w:rsidP="00CD7FF3">
      <w:pPr>
        <w:pStyle w:val="Paragraphedeliste"/>
        <w:numPr>
          <w:ilvl w:val="0"/>
          <w:numId w:val="6"/>
        </w:numPr>
        <w:ind w:left="284" w:hanging="284"/>
        <w:jc w:val="both"/>
      </w:pPr>
      <w:r w:rsidRPr="002A4C86">
        <w:rPr>
          <w:b/>
          <w:i/>
        </w:rPr>
        <w:t>Modalités de déclaration</w:t>
      </w:r>
      <w:r>
        <w:t> : l</w:t>
      </w:r>
      <w:r w:rsidR="00703A12">
        <w:t xml:space="preserve">a déclaration s’effectue </w:t>
      </w:r>
      <w:r w:rsidR="009D0C4A">
        <w:t xml:space="preserve">au travers du portail </w:t>
      </w:r>
      <w:r w:rsidR="00184550">
        <w:t>One</w:t>
      </w:r>
      <w:r w:rsidR="00E34DB1">
        <w:t>G</w:t>
      </w:r>
      <w:r w:rsidR="00184550">
        <w:t xml:space="preserve">ate – Oscamps </w:t>
      </w:r>
      <w:r w:rsidR="004D53B3">
        <w:t xml:space="preserve">(portail de collecte </w:t>
      </w:r>
      <w:r w:rsidR="00184550">
        <w:t>de la Banque de France</w:t>
      </w:r>
      <w:r w:rsidR="004D53B3">
        <w:t>)</w:t>
      </w:r>
      <w:r w:rsidR="009D0C4A">
        <w:t xml:space="preserve"> dont les modalités d’accès sont précisées dans le manuel utilisateur externe ONEGATE.</w:t>
      </w:r>
    </w:p>
    <w:p w14:paraId="5BB446C0" w14:textId="476B0E85" w:rsidR="00C343AE" w:rsidRDefault="004D53B3" w:rsidP="00CD7FF3">
      <w:pPr>
        <w:ind w:left="284"/>
        <w:jc w:val="both"/>
      </w:pPr>
      <w:r>
        <w:t>Un c</w:t>
      </w:r>
      <w:r w:rsidR="009D0C4A">
        <w:t>ontrat d’interface remettant</w:t>
      </w:r>
      <w:r w:rsidR="00426525">
        <w:t xml:space="preserve"> </w:t>
      </w:r>
      <w:r w:rsidR="004020B5">
        <w:t xml:space="preserve">complète le présent guide de remplissage. </w:t>
      </w:r>
    </w:p>
    <w:p w14:paraId="2E0B0C77" w14:textId="17716C87" w:rsidR="009D0C4A" w:rsidRDefault="009D0C4A" w:rsidP="00CD7FF3">
      <w:pPr>
        <w:ind w:left="284"/>
        <w:jc w:val="both"/>
        <w:rPr>
          <w:rStyle w:val="Lienhypertexte"/>
        </w:rPr>
      </w:pPr>
      <w:r>
        <w:t xml:space="preserve">L’ensemble de la documentation technique est disponible sur le site internet de la Banque de France à l’adresse suivante : </w:t>
      </w:r>
      <w:hyperlink r:id="rId10" w:history="1">
        <w:r w:rsidR="00B02CD6">
          <w:rPr>
            <w:rStyle w:val="Lienhypertexte"/>
          </w:rPr>
          <w:t>Collecte pour le compte de l'Observatoire de la sécurité des moyens de paiement | Banque de France (banque-france.fr)</w:t>
        </w:r>
      </w:hyperlink>
    </w:p>
    <w:p w14:paraId="73CC07B5" w14:textId="7F55FCC5" w:rsidR="00E466CD" w:rsidRDefault="00E466CD" w:rsidP="00CD7FF3">
      <w:pPr>
        <w:ind w:left="284"/>
        <w:jc w:val="both"/>
      </w:pPr>
      <w:r>
        <w:t>Une version Excel du questionnaire est disponible via ce fichier :</w:t>
      </w:r>
    </w:p>
    <w:bookmarkStart w:id="1" w:name="_MON_1704004988"/>
    <w:bookmarkEnd w:id="1"/>
    <w:p w14:paraId="18E870E2" w14:textId="26BDC087" w:rsidR="00E466CD" w:rsidRDefault="008F0EFE" w:rsidP="00533933">
      <w:pPr>
        <w:ind w:left="284"/>
        <w:jc w:val="center"/>
      </w:pPr>
      <w:r>
        <w:object w:dxaOrig="1175" w:dyaOrig="760" w14:anchorId="00EF8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38.4pt" o:ole="">
            <v:imagedata r:id="rId11" o:title=""/>
          </v:shape>
          <o:OLEObject Type="Embed" ProgID="Excel.Sheet.12" ShapeID="_x0000_i1025" DrawAspect="Icon" ObjectID="_1751715022" r:id="rId12"/>
        </w:object>
      </w:r>
    </w:p>
    <w:p w14:paraId="46137F13" w14:textId="4D84FD0E" w:rsidR="00FE02D3" w:rsidRDefault="00FE02D3" w:rsidP="00CD7FF3">
      <w:pPr>
        <w:ind w:left="284"/>
        <w:jc w:val="both"/>
        <w:rPr>
          <w:b/>
        </w:rPr>
      </w:pPr>
      <w:r>
        <w:rPr>
          <w:b/>
        </w:rPr>
        <w:t xml:space="preserve">Pour toute information vous pouvez contacter le service </w:t>
      </w:r>
      <w:r w:rsidR="009D0C4A">
        <w:rPr>
          <w:b/>
        </w:rPr>
        <w:t xml:space="preserve">de la Banque de France </w:t>
      </w:r>
      <w:r>
        <w:rPr>
          <w:b/>
        </w:rPr>
        <w:t>en charge d</w:t>
      </w:r>
      <w:r w:rsidR="009D0C4A">
        <w:rPr>
          <w:b/>
        </w:rPr>
        <w:t>’assurer le secrétariat de l’OSMP dont les</w:t>
      </w:r>
      <w:r>
        <w:rPr>
          <w:b/>
        </w:rPr>
        <w:t xml:space="preserve"> coordonnées suivantes :</w:t>
      </w:r>
    </w:p>
    <w:p w14:paraId="01ECD509" w14:textId="77777777" w:rsidR="00E466CD" w:rsidRDefault="00E466CD" w:rsidP="00CD7FF3">
      <w:pPr>
        <w:ind w:left="284"/>
        <w:jc w:val="both"/>
        <w:rPr>
          <w:b/>
        </w:rPr>
      </w:pPr>
    </w:p>
    <w:tbl>
      <w:tblPr>
        <w:tblStyle w:val="Grilledutableau"/>
        <w:tblW w:w="0" w:type="auto"/>
        <w:tblInd w:w="284" w:type="dxa"/>
        <w:tblLook w:val="04A0" w:firstRow="1" w:lastRow="0" w:firstColumn="1" w:lastColumn="0" w:noHBand="0" w:noVBand="1"/>
      </w:tblPr>
      <w:tblGrid>
        <w:gridCol w:w="8921"/>
      </w:tblGrid>
      <w:tr w:rsidR="00F0345E" w:rsidRPr="00E41C7B" w14:paraId="63889A3A" w14:textId="77777777" w:rsidTr="00F0345E">
        <w:tc>
          <w:tcPr>
            <w:tcW w:w="9212" w:type="dxa"/>
          </w:tcPr>
          <w:p w14:paraId="74FEC4A8" w14:textId="386CCA04" w:rsidR="00F0345E" w:rsidRDefault="00F0345E" w:rsidP="00F0345E">
            <w:pPr>
              <w:ind w:left="284"/>
              <w:jc w:val="center"/>
            </w:pPr>
            <w:r>
              <w:t xml:space="preserve">DIRECTION GENERALE </w:t>
            </w:r>
            <w:r w:rsidR="00E41C7B">
              <w:t>DES MOYENS DE PAIEMENT</w:t>
            </w:r>
          </w:p>
          <w:p w14:paraId="6CCB492E" w14:textId="1F0AB0CE" w:rsidR="009D0C4A" w:rsidRDefault="00F0345E" w:rsidP="00F0345E">
            <w:pPr>
              <w:ind w:left="284"/>
              <w:jc w:val="center"/>
            </w:pPr>
            <w:r>
              <w:t xml:space="preserve">Direction </w:t>
            </w:r>
            <w:r w:rsidR="00E41C7B">
              <w:t>des études et surveillance des paiements</w:t>
            </w:r>
          </w:p>
          <w:p w14:paraId="59CC29E5" w14:textId="77777777" w:rsidR="00F0345E" w:rsidRDefault="00F0345E" w:rsidP="00F0345E">
            <w:pPr>
              <w:ind w:left="284"/>
              <w:jc w:val="center"/>
            </w:pPr>
            <w:r>
              <w:t>Service de la Surveillance des Moyens de Paiement Scripturaux</w:t>
            </w:r>
          </w:p>
          <w:p w14:paraId="08702457" w14:textId="337F51E6" w:rsidR="00F0345E" w:rsidRPr="003D5BEB" w:rsidRDefault="00B02CD6" w:rsidP="00F0345E">
            <w:pPr>
              <w:ind w:left="284"/>
              <w:jc w:val="center"/>
              <w:rPr>
                <w:lang w:val="en-US"/>
              </w:rPr>
            </w:pPr>
            <w:r w:rsidRPr="003D5BEB">
              <w:rPr>
                <w:lang w:val="en-US"/>
              </w:rPr>
              <w:t>S2B</w:t>
            </w:r>
            <w:r w:rsidR="00F0345E" w:rsidRPr="003D5BEB">
              <w:rPr>
                <w:lang w:val="en-US"/>
              </w:rPr>
              <w:t>-2323</w:t>
            </w:r>
          </w:p>
          <w:p w14:paraId="512ED188" w14:textId="77777777" w:rsidR="00F0345E" w:rsidRPr="003D5BEB" w:rsidRDefault="00F0345E" w:rsidP="00F0345E">
            <w:pPr>
              <w:ind w:left="284"/>
              <w:jc w:val="center"/>
              <w:rPr>
                <w:lang w:val="en-US"/>
              </w:rPr>
            </w:pPr>
            <w:r w:rsidRPr="003D5BEB">
              <w:rPr>
                <w:lang w:val="en-US"/>
              </w:rPr>
              <w:t>75049 PARIS CEDEX 01</w:t>
            </w:r>
          </w:p>
          <w:p w14:paraId="0C292387" w14:textId="77777777" w:rsidR="00F0345E" w:rsidRPr="003D5BEB" w:rsidRDefault="00AA2F13" w:rsidP="00F0345E">
            <w:pPr>
              <w:ind w:left="284"/>
              <w:jc w:val="center"/>
              <w:rPr>
                <w:lang w:val="en-US"/>
              </w:rPr>
            </w:pPr>
            <w:hyperlink r:id="rId13" w:history="1">
              <w:r w:rsidR="00F0345E" w:rsidRPr="003D5BEB">
                <w:rPr>
                  <w:rStyle w:val="Lienhypertexte"/>
                  <w:lang w:val="en-US"/>
                </w:rPr>
                <w:t>2323-OSMP-UT@banque-france.fr</w:t>
              </w:r>
            </w:hyperlink>
            <w:r w:rsidR="00F0345E" w:rsidRPr="003D5BEB">
              <w:rPr>
                <w:lang w:val="en-US"/>
              </w:rPr>
              <w:t>.</w:t>
            </w:r>
          </w:p>
          <w:p w14:paraId="2144B2B5" w14:textId="77777777" w:rsidR="00F0345E" w:rsidRPr="003D5BEB" w:rsidRDefault="00F0345E" w:rsidP="00CD7FF3">
            <w:pPr>
              <w:jc w:val="both"/>
              <w:rPr>
                <w:b/>
                <w:lang w:val="en-US"/>
              </w:rPr>
            </w:pPr>
          </w:p>
        </w:tc>
      </w:tr>
    </w:tbl>
    <w:p w14:paraId="0A91800F" w14:textId="38B3920D" w:rsidR="00F0345E" w:rsidRPr="003D5BEB" w:rsidRDefault="00F0345E" w:rsidP="00CD7FF3">
      <w:pPr>
        <w:ind w:left="284"/>
        <w:jc w:val="both"/>
        <w:rPr>
          <w:b/>
          <w:lang w:val="en-US"/>
        </w:rPr>
      </w:pPr>
    </w:p>
    <w:p w14:paraId="25A0652D" w14:textId="77777777" w:rsidR="001752B5" w:rsidRPr="003D5BEB" w:rsidRDefault="001752B5">
      <w:pPr>
        <w:rPr>
          <w:rFonts w:ascii="Cambria,Bold" w:hAnsi="Cambria,Bold" w:cs="Cambria,Bold"/>
          <w:b/>
          <w:bCs/>
          <w:color w:val="548DD4" w:themeColor="text2" w:themeTint="99"/>
          <w:sz w:val="24"/>
          <w:szCs w:val="24"/>
          <w:lang w:val="en-US"/>
        </w:rPr>
      </w:pPr>
      <w:r w:rsidRPr="003D5BEB">
        <w:rPr>
          <w:rFonts w:ascii="Cambria,Bold" w:hAnsi="Cambria,Bold" w:cs="Cambria,Bold"/>
          <w:b/>
          <w:bCs/>
          <w:color w:val="548DD4" w:themeColor="text2" w:themeTint="99"/>
          <w:sz w:val="24"/>
          <w:szCs w:val="24"/>
          <w:lang w:val="en-US"/>
        </w:rPr>
        <w:br w:type="page"/>
      </w:r>
    </w:p>
    <w:p w14:paraId="0AEA82E3" w14:textId="08865CBD" w:rsidR="00633383" w:rsidRDefault="007B315F" w:rsidP="00633383">
      <w:pP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lastRenderedPageBreak/>
        <w:t xml:space="preserve">4. </w:t>
      </w:r>
      <w:r w:rsidR="000D7A73">
        <w:rPr>
          <w:rFonts w:ascii="Cambria,Bold" w:hAnsi="Cambria,Bold" w:cs="Cambria,Bold"/>
          <w:b/>
          <w:bCs/>
          <w:color w:val="548DD4" w:themeColor="text2" w:themeTint="99"/>
          <w:sz w:val="24"/>
          <w:szCs w:val="24"/>
        </w:rPr>
        <w:t>Structure et c</w:t>
      </w:r>
      <w:r w:rsidR="005422DE">
        <w:rPr>
          <w:rFonts w:ascii="Cambria,Bold" w:hAnsi="Cambria,Bold" w:cs="Cambria,Bold"/>
          <w:b/>
          <w:bCs/>
          <w:color w:val="548DD4" w:themeColor="text2" w:themeTint="99"/>
          <w:sz w:val="24"/>
          <w:szCs w:val="24"/>
        </w:rPr>
        <w:t xml:space="preserve">ontenu du </w:t>
      </w:r>
      <w:r w:rsidR="00B07630">
        <w:rPr>
          <w:rFonts w:ascii="Cambria,Bold" w:hAnsi="Cambria,Bold" w:cs="Cambria,Bold"/>
          <w:b/>
          <w:bCs/>
          <w:color w:val="548DD4" w:themeColor="text2" w:themeTint="99"/>
          <w:sz w:val="24"/>
          <w:szCs w:val="24"/>
        </w:rPr>
        <w:t>questionnaire</w:t>
      </w:r>
    </w:p>
    <w:p w14:paraId="61AC0439" w14:textId="77777777" w:rsidR="007B315F" w:rsidRDefault="007B315F" w:rsidP="00FE4CC1">
      <w:pPr>
        <w:jc w:val="both"/>
      </w:pPr>
      <w:r>
        <w:t>La structure du questionnaire se présente comme suit :</w:t>
      </w:r>
    </w:p>
    <w:p w14:paraId="1F2ADCAB" w14:textId="77777777" w:rsidR="007B315F" w:rsidRDefault="00704DF8" w:rsidP="00FE4CC1">
      <w:pPr>
        <w:pStyle w:val="Paragraphedeliste"/>
        <w:numPr>
          <w:ilvl w:val="0"/>
          <w:numId w:val="19"/>
        </w:numPr>
        <w:jc w:val="both"/>
      </w:pPr>
      <w:r w:rsidRPr="00704DF8">
        <w:t>Section 1.1</w:t>
      </w:r>
      <w:r>
        <w:t xml:space="preserve"> – Nombre de cartes :</w:t>
      </w:r>
      <w:r w:rsidR="005A68F6">
        <w:t xml:space="preserve"> </w:t>
      </w:r>
      <w:r w:rsidR="00FE4CC1">
        <w:t>recense l</w:t>
      </w:r>
      <w:r w:rsidR="000B5DB4">
        <w:t xml:space="preserve">es données sur les volumes </w:t>
      </w:r>
      <w:r w:rsidR="00FE4CC1">
        <w:t>des cartes en circulation et mises en opposition.</w:t>
      </w:r>
    </w:p>
    <w:p w14:paraId="4A605D6B" w14:textId="77777777" w:rsidR="00704DF8" w:rsidRDefault="00704DF8" w:rsidP="00FE4CC1">
      <w:pPr>
        <w:pStyle w:val="Paragraphedeliste"/>
        <w:numPr>
          <w:ilvl w:val="0"/>
          <w:numId w:val="19"/>
        </w:numPr>
        <w:jc w:val="both"/>
      </w:pPr>
      <w:r>
        <w:t>Section 1.2 – Volume et valeur des transactions</w:t>
      </w:r>
      <w:r w:rsidR="00711167">
        <w:t> :</w:t>
      </w:r>
      <w:r w:rsidR="00FE4CC1">
        <w:t xml:space="preserve"> recense le nombre et le montant des transactions ventilés par type de transaction</w:t>
      </w:r>
      <w:r w:rsidR="006F4247">
        <w:t>, par mode d’authentification</w:t>
      </w:r>
      <w:r w:rsidR="00FE4CC1">
        <w:t xml:space="preserve"> et par zone géographique de l’émetteur de la carte et de l’accepteur de la transaction.</w:t>
      </w:r>
    </w:p>
    <w:p w14:paraId="6DECAEC8" w14:textId="77777777" w:rsidR="00704DF8" w:rsidRDefault="00704DF8" w:rsidP="00FE4CC1">
      <w:pPr>
        <w:pStyle w:val="Paragraphedeliste"/>
        <w:numPr>
          <w:ilvl w:val="0"/>
          <w:numId w:val="19"/>
        </w:numPr>
        <w:jc w:val="both"/>
      </w:pPr>
      <w:r>
        <w:t>Sections 2.a à 2.e – Répartition de la fraude : origine de la fraude</w:t>
      </w:r>
      <w:r w:rsidR="00711167">
        <w:t> :</w:t>
      </w:r>
      <w:r w:rsidR="00FE4CC1">
        <w:t xml:space="preserve"> </w:t>
      </w:r>
      <w:r w:rsidR="007E4607">
        <w:t xml:space="preserve">pour chaque zone géographique de l’émetteur de la carte et de l’accepteur de la transaction, </w:t>
      </w:r>
      <w:r w:rsidR="00FE4CC1">
        <w:t>recense le nombre et le montant des transactions frauduleuses ventilés par type de transaction</w:t>
      </w:r>
      <w:r w:rsidR="002E173C">
        <w:t xml:space="preserve">, </w:t>
      </w:r>
      <w:r w:rsidR="006F4247">
        <w:t xml:space="preserve">mode d’authentification, </w:t>
      </w:r>
      <w:r w:rsidR="002E173C">
        <w:t xml:space="preserve">par fonction de la carte </w:t>
      </w:r>
      <w:r w:rsidR="00FE4CC1">
        <w:t>et par typologie de fraude.</w:t>
      </w:r>
    </w:p>
    <w:p w14:paraId="2BFA117D" w14:textId="77777777" w:rsidR="00704DF8" w:rsidRDefault="00704DF8" w:rsidP="00FE4CC1">
      <w:pPr>
        <w:pStyle w:val="Paragraphedeliste"/>
        <w:numPr>
          <w:ilvl w:val="0"/>
          <w:numId w:val="19"/>
        </w:numPr>
        <w:jc w:val="both"/>
      </w:pPr>
      <w:r>
        <w:t>Section 3.1 – Ventilation de la fraude en vente à distance par secteur d’activité sur les transactions nationales</w:t>
      </w:r>
      <w:r w:rsidR="00711167">
        <w:t> :</w:t>
      </w:r>
      <w:r w:rsidR="007E4607">
        <w:t xml:space="preserve"> recense la fraude nationale sur les paiements à distance selon le secteur d’activité</w:t>
      </w:r>
      <w:r w:rsidR="00DB3037">
        <w:t xml:space="preserve"> du commerçant</w:t>
      </w:r>
      <w:r w:rsidR="007E4607">
        <w:t>.</w:t>
      </w:r>
    </w:p>
    <w:p w14:paraId="337DB25E" w14:textId="77777777" w:rsidR="00711167" w:rsidRPr="00704DF8" w:rsidRDefault="00711167" w:rsidP="00711167">
      <w:pPr>
        <w:pStyle w:val="Paragraphedeliste"/>
      </w:pPr>
    </w:p>
    <w:p w14:paraId="76F19BF0" w14:textId="59D82358" w:rsidR="00B6564A" w:rsidRDefault="002A4C86" w:rsidP="00B6564A">
      <w:r>
        <w:rPr>
          <w:rFonts w:cs="Cambria,Bold"/>
          <w:b/>
          <w:bCs/>
          <w:color w:val="548DD4" w:themeColor="text2" w:themeTint="99"/>
          <w:sz w:val="24"/>
          <w:szCs w:val="24"/>
          <w:u w:val="single"/>
        </w:rPr>
        <w:t xml:space="preserve">Section 1.1 - </w:t>
      </w:r>
      <w:r w:rsidR="00AC13C9" w:rsidRPr="0077158F">
        <w:rPr>
          <w:rFonts w:cs="Cambria,Bold"/>
          <w:b/>
          <w:bCs/>
          <w:color w:val="548DD4" w:themeColor="text2" w:themeTint="99"/>
          <w:sz w:val="24"/>
          <w:szCs w:val="24"/>
          <w:u w:val="single"/>
        </w:rPr>
        <w:t>Nombre de cartes</w:t>
      </w:r>
    </w:p>
    <w:tbl>
      <w:tblPr>
        <w:tblW w:w="9215" w:type="dxa"/>
        <w:tblCellMar>
          <w:left w:w="70" w:type="dxa"/>
          <w:right w:w="70" w:type="dxa"/>
        </w:tblCellMar>
        <w:tblLook w:val="04A0" w:firstRow="1" w:lastRow="0" w:firstColumn="1" w:lastColumn="0" w:noHBand="0" w:noVBand="1"/>
      </w:tblPr>
      <w:tblGrid>
        <w:gridCol w:w="6143"/>
        <w:gridCol w:w="1535"/>
        <w:gridCol w:w="1537"/>
      </w:tblGrid>
      <w:tr w:rsidR="006E51E1" w:rsidRPr="006E51E1" w14:paraId="18C2A535" w14:textId="77777777" w:rsidTr="006E51E1">
        <w:trPr>
          <w:trHeight w:val="420"/>
        </w:trPr>
        <w:tc>
          <w:tcPr>
            <w:tcW w:w="5000" w:type="pct"/>
            <w:gridSpan w:val="3"/>
            <w:tcBorders>
              <w:top w:val="nil"/>
              <w:left w:val="nil"/>
              <w:bottom w:val="nil"/>
              <w:right w:val="nil"/>
            </w:tcBorders>
            <w:shd w:val="clear" w:color="auto" w:fill="auto"/>
            <w:vAlign w:val="center"/>
            <w:hideMark/>
          </w:tcPr>
          <w:p w14:paraId="1EF0D907" w14:textId="77777777" w:rsidR="006E51E1" w:rsidRPr="006E51E1" w:rsidRDefault="006E51E1" w:rsidP="006E51E1">
            <w:pPr>
              <w:spacing w:after="0" w:line="240" w:lineRule="auto"/>
              <w:rPr>
                <w:rFonts w:ascii="Arial" w:eastAsia="Times New Roman" w:hAnsi="Arial" w:cs="Arial"/>
                <w:b/>
                <w:bCs/>
                <w:sz w:val="20"/>
                <w:szCs w:val="20"/>
                <w:lang w:eastAsia="fr-FR"/>
              </w:rPr>
            </w:pPr>
            <w:r w:rsidRPr="006E51E1">
              <w:rPr>
                <w:rFonts w:ascii="Arial" w:eastAsia="Times New Roman" w:hAnsi="Arial" w:cs="Arial"/>
                <w:b/>
                <w:bCs/>
                <w:sz w:val="20"/>
                <w:szCs w:val="20"/>
                <w:lang w:eastAsia="fr-FR"/>
              </w:rPr>
              <w:t>1.1 - Nombre de cartes</w:t>
            </w:r>
          </w:p>
        </w:tc>
      </w:tr>
      <w:tr w:rsidR="006E51E1" w:rsidRPr="006E51E1" w14:paraId="53FD925A" w14:textId="77777777" w:rsidTr="006E51E1">
        <w:trPr>
          <w:trHeight w:val="600"/>
        </w:trPr>
        <w:tc>
          <w:tcPr>
            <w:tcW w:w="3333" w:type="pct"/>
            <w:tcBorders>
              <w:top w:val="single" w:sz="8" w:space="0" w:color="auto"/>
              <w:left w:val="single" w:sz="8" w:space="0" w:color="FFFFFF"/>
              <w:bottom w:val="dashed" w:sz="4" w:space="0" w:color="auto"/>
              <w:right w:val="single" w:sz="8" w:space="0" w:color="FFFFFF"/>
            </w:tcBorders>
            <w:shd w:val="clear" w:color="auto" w:fill="auto"/>
            <w:vAlign w:val="center"/>
            <w:hideMark/>
          </w:tcPr>
          <w:p w14:paraId="7E48968D" w14:textId="77777777" w:rsidR="006E51E1" w:rsidRPr="006E51E1" w:rsidRDefault="006E51E1" w:rsidP="006E51E1">
            <w:pPr>
              <w:spacing w:after="0" w:line="240" w:lineRule="auto"/>
              <w:ind w:firstLineChars="100" w:firstLine="200"/>
              <w:rPr>
                <w:rFonts w:ascii="Arial" w:eastAsia="Times New Roman" w:hAnsi="Arial" w:cs="Arial"/>
                <w:sz w:val="20"/>
                <w:szCs w:val="20"/>
                <w:lang w:eastAsia="fr-FR"/>
              </w:rPr>
            </w:pPr>
            <w:r w:rsidRPr="006E51E1">
              <w:rPr>
                <w:rFonts w:ascii="Arial" w:eastAsia="Times New Roman" w:hAnsi="Arial" w:cs="Arial"/>
                <w:sz w:val="20"/>
                <w:szCs w:val="20"/>
                <w:lang w:eastAsia="fr-FR"/>
              </w:rPr>
              <w:t>Nombre de cartes émises en France et en cours de validité fin semestre sous revue</w:t>
            </w:r>
          </w:p>
        </w:tc>
        <w:tc>
          <w:tcPr>
            <w:tcW w:w="833" w:type="pct"/>
            <w:tcBorders>
              <w:top w:val="single" w:sz="8" w:space="0" w:color="auto"/>
              <w:left w:val="nil"/>
              <w:bottom w:val="dashed" w:sz="4" w:space="0" w:color="auto"/>
              <w:right w:val="single" w:sz="8" w:space="0" w:color="FFFFFF"/>
            </w:tcBorders>
            <w:shd w:val="clear" w:color="C0C0C0" w:fill="F2F2F2"/>
            <w:vAlign w:val="center"/>
            <w:hideMark/>
          </w:tcPr>
          <w:p w14:paraId="41C4972F" w14:textId="77777777" w:rsidR="006E51E1" w:rsidRPr="006E51E1" w:rsidRDefault="006E51E1" w:rsidP="006E51E1">
            <w:pPr>
              <w:spacing w:after="0" w:line="240" w:lineRule="auto"/>
              <w:rPr>
                <w:rFonts w:ascii="Arial" w:eastAsia="Times New Roman" w:hAnsi="Arial" w:cs="Arial"/>
                <w:sz w:val="18"/>
                <w:szCs w:val="18"/>
                <w:lang w:eastAsia="fr-FR"/>
              </w:rPr>
            </w:pPr>
            <w:r w:rsidRPr="006E51E1">
              <w:rPr>
                <w:rFonts w:ascii="Arial" w:eastAsia="Times New Roman" w:hAnsi="Arial" w:cs="Arial"/>
                <w:sz w:val="18"/>
                <w:szCs w:val="18"/>
                <w:lang w:eastAsia="fr-FR"/>
              </w:rPr>
              <w:t> </w:t>
            </w:r>
          </w:p>
        </w:tc>
        <w:tc>
          <w:tcPr>
            <w:tcW w:w="834" w:type="pct"/>
            <w:tcBorders>
              <w:top w:val="single" w:sz="8" w:space="0" w:color="auto"/>
              <w:left w:val="nil"/>
              <w:bottom w:val="dashed" w:sz="4" w:space="0" w:color="auto"/>
              <w:right w:val="single" w:sz="8" w:space="0" w:color="FFFFFF"/>
            </w:tcBorders>
            <w:shd w:val="clear" w:color="auto" w:fill="auto"/>
            <w:vAlign w:val="center"/>
            <w:hideMark/>
          </w:tcPr>
          <w:p w14:paraId="2DE8B892" w14:textId="77777777" w:rsidR="006E51E1" w:rsidRPr="006E51E1" w:rsidRDefault="006E51E1" w:rsidP="006E51E1">
            <w:pPr>
              <w:spacing w:after="0" w:line="240" w:lineRule="auto"/>
              <w:ind w:firstLineChars="100" w:firstLine="200"/>
              <w:rPr>
                <w:rFonts w:ascii="Arial" w:eastAsia="Times New Roman" w:hAnsi="Arial" w:cs="Arial"/>
                <w:sz w:val="20"/>
                <w:szCs w:val="20"/>
                <w:lang w:eastAsia="fr-FR"/>
              </w:rPr>
            </w:pPr>
            <w:r w:rsidRPr="006E51E1">
              <w:rPr>
                <w:rFonts w:ascii="Arial" w:eastAsia="Times New Roman" w:hAnsi="Arial" w:cs="Arial"/>
                <w:sz w:val="20"/>
                <w:szCs w:val="20"/>
                <w:lang w:eastAsia="fr-FR"/>
              </w:rPr>
              <w:t>cartes</w:t>
            </w:r>
          </w:p>
        </w:tc>
      </w:tr>
      <w:tr w:rsidR="006E51E1" w:rsidRPr="006E51E1" w14:paraId="6EABDBE1" w14:textId="77777777" w:rsidTr="006E51E1">
        <w:trPr>
          <w:trHeight w:val="600"/>
        </w:trPr>
        <w:tc>
          <w:tcPr>
            <w:tcW w:w="3333" w:type="pct"/>
            <w:tcBorders>
              <w:top w:val="dashed" w:sz="4" w:space="0" w:color="auto"/>
              <w:left w:val="single" w:sz="8" w:space="0" w:color="FFFFFF"/>
              <w:bottom w:val="dashed" w:sz="4" w:space="0" w:color="auto"/>
              <w:right w:val="single" w:sz="8" w:space="0" w:color="FFFFFF"/>
            </w:tcBorders>
            <w:shd w:val="clear" w:color="auto" w:fill="auto"/>
            <w:vAlign w:val="center"/>
            <w:hideMark/>
          </w:tcPr>
          <w:p w14:paraId="41E47451" w14:textId="77777777" w:rsidR="006E51E1" w:rsidRPr="006E51E1" w:rsidRDefault="006E51E1" w:rsidP="006E51E1">
            <w:pPr>
              <w:spacing w:after="0" w:line="240" w:lineRule="auto"/>
              <w:ind w:firstLineChars="100" w:firstLine="200"/>
              <w:jc w:val="right"/>
              <w:rPr>
                <w:rFonts w:ascii="Arial" w:eastAsia="Times New Roman" w:hAnsi="Arial" w:cs="Arial"/>
                <w:i/>
                <w:iCs/>
                <w:sz w:val="20"/>
                <w:szCs w:val="20"/>
                <w:lang w:eastAsia="fr-FR"/>
              </w:rPr>
            </w:pPr>
            <w:r w:rsidRPr="006E51E1">
              <w:rPr>
                <w:rFonts w:ascii="Arial" w:eastAsia="Times New Roman" w:hAnsi="Arial" w:cs="Arial"/>
                <w:i/>
                <w:iCs/>
                <w:sz w:val="20"/>
                <w:szCs w:val="20"/>
                <w:lang w:eastAsia="fr-FR"/>
              </w:rPr>
              <w:t>dont cartes duales (permettant les paiements</w:t>
            </w:r>
            <w:r w:rsidRPr="006E51E1">
              <w:rPr>
                <w:rFonts w:ascii="Arial" w:eastAsia="Times New Roman" w:hAnsi="Arial" w:cs="Arial"/>
                <w:i/>
                <w:iCs/>
                <w:sz w:val="20"/>
                <w:szCs w:val="20"/>
                <w:lang w:eastAsia="fr-FR"/>
              </w:rPr>
              <w:br/>
              <w:t>avec contact ou sans contact)</w:t>
            </w:r>
          </w:p>
        </w:tc>
        <w:tc>
          <w:tcPr>
            <w:tcW w:w="833" w:type="pct"/>
            <w:tcBorders>
              <w:top w:val="nil"/>
              <w:left w:val="nil"/>
              <w:bottom w:val="dashed" w:sz="4" w:space="0" w:color="auto"/>
              <w:right w:val="single" w:sz="8" w:space="0" w:color="FFFFFF"/>
            </w:tcBorders>
            <w:shd w:val="clear" w:color="C0C0C0" w:fill="F2F2F2"/>
            <w:vAlign w:val="center"/>
            <w:hideMark/>
          </w:tcPr>
          <w:p w14:paraId="744F174C" w14:textId="77777777" w:rsidR="006E51E1" w:rsidRPr="006E51E1" w:rsidRDefault="006E51E1" w:rsidP="006E51E1">
            <w:pPr>
              <w:spacing w:after="0" w:line="240" w:lineRule="auto"/>
              <w:rPr>
                <w:rFonts w:ascii="Arial" w:eastAsia="Times New Roman" w:hAnsi="Arial" w:cs="Arial"/>
                <w:sz w:val="18"/>
                <w:szCs w:val="18"/>
                <w:lang w:eastAsia="fr-FR"/>
              </w:rPr>
            </w:pPr>
            <w:r w:rsidRPr="006E51E1">
              <w:rPr>
                <w:rFonts w:ascii="Arial" w:eastAsia="Times New Roman" w:hAnsi="Arial" w:cs="Arial"/>
                <w:sz w:val="18"/>
                <w:szCs w:val="18"/>
                <w:lang w:eastAsia="fr-FR"/>
              </w:rPr>
              <w:t> </w:t>
            </w:r>
          </w:p>
        </w:tc>
        <w:tc>
          <w:tcPr>
            <w:tcW w:w="834" w:type="pct"/>
            <w:tcBorders>
              <w:top w:val="nil"/>
              <w:left w:val="nil"/>
              <w:bottom w:val="dashed" w:sz="4" w:space="0" w:color="auto"/>
              <w:right w:val="single" w:sz="8" w:space="0" w:color="FFFFFF"/>
            </w:tcBorders>
            <w:shd w:val="clear" w:color="auto" w:fill="auto"/>
            <w:vAlign w:val="center"/>
            <w:hideMark/>
          </w:tcPr>
          <w:p w14:paraId="193DB094" w14:textId="77777777" w:rsidR="006E51E1" w:rsidRPr="006E51E1" w:rsidRDefault="006E51E1" w:rsidP="006E51E1">
            <w:pPr>
              <w:spacing w:after="0" w:line="240" w:lineRule="auto"/>
              <w:ind w:firstLineChars="100" w:firstLine="200"/>
              <w:rPr>
                <w:rFonts w:ascii="Arial" w:eastAsia="Times New Roman" w:hAnsi="Arial" w:cs="Arial"/>
                <w:sz w:val="20"/>
                <w:szCs w:val="20"/>
                <w:lang w:eastAsia="fr-FR"/>
              </w:rPr>
            </w:pPr>
            <w:r w:rsidRPr="006E51E1">
              <w:rPr>
                <w:rFonts w:ascii="Arial" w:eastAsia="Times New Roman" w:hAnsi="Arial" w:cs="Arial"/>
                <w:sz w:val="20"/>
                <w:szCs w:val="20"/>
                <w:lang w:eastAsia="fr-FR"/>
              </w:rPr>
              <w:t>cartes</w:t>
            </w:r>
          </w:p>
        </w:tc>
      </w:tr>
      <w:tr w:rsidR="006E51E1" w:rsidRPr="006E51E1" w14:paraId="5FC18AB6" w14:textId="77777777" w:rsidTr="006E51E1">
        <w:trPr>
          <w:trHeight w:val="600"/>
        </w:trPr>
        <w:tc>
          <w:tcPr>
            <w:tcW w:w="3333" w:type="pct"/>
            <w:tcBorders>
              <w:top w:val="dashed" w:sz="4" w:space="0" w:color="auto"/>
              <w:left w:val="single" w:sz="8" w:space="0" w:color="FFFFFF"/>
              <w:bottom w:val="dashed" w:sz="4" w:space="0" w:color="auto"/>
              <w:right w:val="single" w:sz="8" w:space="0" w:color="FFFFFF"/>
            </w:tcBorders>
            <w:shd w:val="clear" w:color="auto" w:fill="auto"/>
            <w:vAlign w:val="center"/>
            <w:hideMark/>
          </w:tcPr>
          <w:p w14:paraId="521F36D5" w14:textId="005FF4B7" w:rsidR="006E51E1" w:rsidRPr="006E51E1" w:rsidRDefault="00314637" w:rsidP="00953342">
            <w:pPr>
              <w:spacing w:after="0" w:line="240" w:lineRule="auto"/>
              <w:ind w:firstLineChars="100" w:firstLine="200"/>
              <w:jc w:val="both"/>
              <w:rPr>
                <w:rFonts w:ascii="Arial" w:eastAsia="Times New Roman" w:hAnsi="Arial" w:cs="Arial"/>
                <w:sz w:val="20"/>
                <w:szCs w:val="20"/>
                <w:lang w:eastAsia="fr-FR"/>
              </w:rPr>
            </w:pPr>
            <w:r w:rsidRPr="003D5BEB">
              <w:rPr>
                <w:rFonts w:ascii="Arial" w:eastAsia="Times New Roman" w:hAnsi="Arial" w:cs="Arial"/>
                <w:sz w:val="20"/>
                <w:szCs w:val="20"/>
                <w:lang w:eastAsia="fr-FR"/>
              </w:rPr>
              <w:t xml:space="preserve">Nombre de supports (autres que cartes, tels que les smartphones, les montres ou les objets connectés) permettant de réaliser des paiements par carte en mode sans contact et en cours de validité à la fin du semestre sous revue. La comptabilisation des </w:t>
            </w:r>
            <w:r w:rsidRPr="003D5BEB">
              <w:rPr>
                <w:rFonts w:ascii="Arial" w:eastAsia="Times New Roman" w:hAnsi="Arial" w:cs="Arial"/>
                <w:i/>
                <w:sz w:val="20"/>
                <w:szCs w:val="20"/>
                <w:lang w:eastAsia="fr-FR"/>
              </w:rPr>
              <w:t>tokens</w:t>
            </w:r>
            <w:r w:rsidRPr="003D5BEB">
              <w:rPr>
                <w:rFonts w:ascii="Arial" w:eastAsia="Times New Roman" w:hAnsi="Arial" w:cs="Arial"/>
                <w:sz w:val="20"/>
                <w:szCs w:val="20"/>
                <w:lang w:eastAsia="fr-FR"/>
              </w:rPr>
              <w:t xml:space="preserve"> associés à de tels supports peut servir de base d’estimation pour cet indicateur.</w:t>
            </w:r>
          </w:p>
        </w:tc>
        <w:tc>
          <w:tcPr>
            <w:tcW w:w="833" w:type="pct"/>
            <w:tcBorders>
              <w:top w:val="nil"/>
              <w:left w:val="nil"/>
              <w:bottom w:val="dashed" w:sz="4" w:space="0" w:color="auto"/>
              <w:right w:val="single" w:sz="8" w:space="0" w:color="FFFFFF"/>
            </w:tcBorders>
            <w:shd w:val="clear" w:color="C0C0C0" w:fill="F2F2F2"/>
            <w:vAlign w:val="center"/>
            <w:hideMark/>
          </w:tcPr>
          <w:p w14:paraId="12875908" w14:textId="77777777" w:rsidR="006E51E1" w:rsidRPr="006E51E1" w:rsidRDefault="006E51E1" w:rsidP="006E51E1">
            <w:pPr>
              <w:spacing w:after="0" w:line="240" w:lineRule="auto"/>
              <w:rPr>
                <w:rFonts w:ascii="Arial" w:eastAsia="Times New Roman" w:hAnsi="Arial" w:cs="Arial"/>
                <w:sz w:val="18"/>
                <w:szCs w:val="18"/>
                <w:lang w:eastAsia="fr-FR"/>
              </w:rPr>
            </w:pPr>
            <w:r w:rsidRPr="006E51E1">
              <w:rPr>
                <w:rFonts w:ascii="Arial" w:eastAsia="Times New Roman" w:hAnsi="Arial" w:cs="Arial"/>
                <w:sz w:val="18"/>
                <w:szCs w:val="18"/>
                <w:lang w:eastAsia="fr-FR"/>
              </w:rPr>
              <w:t> </w:t>
            </w:r>
          </w:p>
        </w:tc>
        <w:tc>
          <w:tcPr>
            <w:tcW w:w="834" w:type="pct"/>
            <w:tcBorders>
              <w:top w:val="nil"/>
              <w:left w:val="nil"/>
              <w:bottom w:val="dashed" w:sz="4" w:space="0" w:color="auto"/>
              <w:right w:val="single" w:sz="8" w:space="0" w:color="FFFFFF"/>
            </w:tcBorders>
            <w:shd w:val="clear" w:color="auto" w:fill="auto"/>
            <w:vAlign w:val="center"/>
            <w:hideMark/>
          </w:tcPr>
          <w:p w14:paraId="6D6F3E9A" w14:textId="77777777" w:rsidR="006E51E1" w:rsidRPr="006E51E1" w:rsidRDefault="006E51E1" w:rsidP="006E51E1">
            <w:pPr>
              <w:spacing w:after="0" w:line="240" w:lineRule="auto"/>
              <w:ind w:firstLineChars="100" w:firstLine="200"/>
              <w:rPr>
                <w:rFonts w:ascii="Arial" w:eastAsia="Times New Roman" w:hAnsi="Arial" w:cs="Arial"/>
                <w:sz w:val="20"/>
                <w:szCs w:val="20"/>
                <w:lang w:eastAsia="fr-FR"/>
              </w:rPr>
            </w:pPr>
            <w:r w:rsidRPr="006E51E1">
              <w:rPr>
                <w:rFonts w:ascii="Arial" w:eastAsia="Times New Roman" w:hAnsi="Arial" w:cs="Arial"/>
                <w:sz w:val="20"/>
                <w:szCs w:val="20"/>
                <w:lang w:eastAsia="fr-FR"/>
              </w:rPr>
              <w:t>supports</w:t>
            </w:r>
          </w:p>
        </w:tc>
      </w:tr>
      <w:tr w:rsidR="006E51E1" w:rsidRPr="006E51E1" w14:paraId="480773FC" w14:textId="77777777" w:rsidTr="006E51E1">
        <w:trPr>
          <w:trHeight w:val="600"/>
        </w:trPr>
        <w:tc>
          <w:tcPr>
            <w:tcW w:w="3333" w:type="pct"/>
            <w:tcBorders>
              <w:top w:val="dashed" w:sz="4" w:space="0" w:color="auto"/>
              <w:left w:val="single" w:sz="8" w:space="0" w:color="FFFFFF"/>
              <w:bottom w:val="single" w:sz="8" w:space="0" w:color="auto"/>
              <w:right w:val="single" w:sz="8" w:space="0" w:color="FFFFFF"/>
            </w:tcBorders>
            <w:shd w:val="clear" w:color="auto" w:fill="auto"/>
            <w:vAlign w:val="center"/>
            <w:hideMark/>
          </w:tcPr>
          <w:p w14:paraId="1EF35032" w14:textId="77777777" w:rsidR="006E51E1" w:rsidRPr="006E51E1" w:rsidRDefault="006E51E1" w:rsidP="006E51E1">
            <w:pPr>
              <w:spacing w:after="0" w:line="240" w:lineRule="auto"/>
              <w:ind w:firstLineChars="100" w:firstLine="200"/>
              <w:rPr>
                <w:rFonts w:ascii="Arial" w:eastAsia="Times New Roman" w:hAnsi="Arial" w:cs="Arial"/>
                <w:sz w:val="20"/>
                <w:szCs w:val="20"/>
                <w:lang w:eastAsia="fr-FR"/>
              </w:rPr>
            </w:pPr>
            <w:r w:rsidRPr="006E51E1">
              <w:rPr>
                <w:rFonts w:ascii="Arial" w:eastAsia="Times New Roman" w:hAnsi="Arial" w:cs="Arial"/>
                <w:sz w:val="20"/>
                <w:szCs w:val="20"/>
                <w:lang w:eastAsia="fr-FR"/>
              </w:rPr>
              <w:t xml:space="preserve">Nombre de cartes et autres supports mis en opposition au cours du semestre sous revue et pour lesquels au moins une transaction frauduleuse a été enregistrée </w:t>
            </w:r>
          </w:p>
        </w:tc>
        <w:tc>
          <w:tcPr>
            <w:tcW w:w="833" w:type="pct"/>
            <w:tcBorders>
              <w:top w:val="nil"/>
              <w:left w:val="nil"/>
              <w:bottom w:val="single" w:sz="8" w:space="0" w:color="auto"/>
              <w:right w:val="single" w:sz="8" w:space="0" w:color="FFFFFF"/>
            </w:tcBorders>
            <w:shd w:val="clear" w:color="C0C0C0" w:fill="F2F2F2"/>
            <w:vAlign w:val="center"/>
            <w:hideMark/>
          </w:tcPr>
          <w:p w14:paraId="77584D1A" w14:textId="77777777" w:rsidR="006E51E1" w:rsidRPr="006E51E1" w:rsidRDefault="006E51E1" w:rsidP="006E51E1">
            <w:pPr>
              <w:spacing w:after="0" w:line="240" w:lineRule="auto"/>
              <w:rPr>
                <w:rFonts w:ascii="Arial" w:eastAsia="Times New Roman" w:hAnsi="Arial" w:cs="Arial"/>
                <w:sz w:val="18"/>
                <w:szCs w:val="18"/>
                <w:lang w:eastAsia="fr-FR"/>
              </w:rPr>
            </w:pPr>
            <w:r w:rsidRPr="006E51E1">
              <w:rPr>
                <w:rFonts w:ascii="Arial" w:eastAsia="Times New Roman" w:hAnsi="Arial" w:cs="Arial"/>
                <w:sz w:val="18"/>
                <w:szCs w:val="18"/>
                <w:lang w:eastAsia="fr-FR"/>
              </w:rPr>
              <w:t> </w:t>
            </w:r>
          </w:p>
        </w:tc>
        <w:tc>
          <w:tcPr>
            <w:tcW w:w="834" w:type="pct"/>
            <w:tcBorders>
              <w:top w:val="nil"/>
              <w:left w:val="nil"/>
              <w:bottom w:val="single" w:sz="8" w:space="0" w:color="auto"/>
              <w:right w:val="single" w:sz="8" w:space="0" w:color="FFFFFF"/>
            </w:tcBorders>
            <w:shd w:val="clear" w:color="auto" w:fill="auto"/>
            <w:vAlign w:val="center"/>
            <w:hideMark/>
          </w:tcPr>
          <w:p w14:paraId="1192CE77" w14:textId="77777777" w:rsidR="006E51E1" w:rsidRPr="006E51E1" w:rsidRDefault="006E51E1" w:rsidP="003D5BEB">
            <w:pPr>
              <w:spacing w:after="0" w:line="240" w:lineRule="auto"/>
              <w:ind w:left="184"/>
              <w:rPr>
                <w:rFonts w:ascii="Arial" w:eastAsia="Times New Roman" w:hAnsi="Arial" w:cs="Arial"/>
                <w:sz w:val="20"/>
                <w:szCs w:val="20"/>
                <w:lang w:eastAsia="fr-FR"/>
              </w:rPr>
            </w:pPr>
            <w:r w:rsidRPr="006E51E1">
              <w:rPr>
                <w:rFonts w:ascii="Arial" w:eastAsia="Times New Roman" w:hAnsi="Arial" w:cs="Arial"/>
                <w:sz w:val="20"/>
                <w:szCs w:val="20"/>
                <w:lang w:eastAsia="fr-FR"/>
              </w:rPr>
              <w:t>cartes et supports</w:t>
            </w:r>
          </w:p>
        </w:tc>
      </w:tr>
    </w:tbl>
    <w:p w14:paraId="50C782CB" w14:textId="77777777" w:rsidR="006E51E1" w:rsidRDefault="006E51E1" w:rsidP="00B6564A"/>
    <w:p w14:paraId="2DF82AAB" w14:textId="1DDE9685" w:rsidR="00D36F30" w:rsidRPr="00314637" w:rsidRDefault="00D36F30" w:rsidP="00D36F30">
      <w:pPr>
        <w:pStyle w:val="Paragraphedeliste"/>
        <w:numPr>
          <w:ilvl w:val="0"/>
          <w:numId w:val="12"/>
        </w:numPr>
        <w:ind w:left="284" w:hanging="284"/>
        <w:jc w:val="both"/>
      </w:pPr>
      <w:r>
        <w:rPr>
          <w:rFonts w:cs="Cambria,Bold"/>
          <w:b/>
          <w:bCs/>
          <w:color w:val="548DD4" w:themeColor="text2" w:themeTint="99"/>
        </w:rPr>
        <w:t>Cartes </w:t>
      </w:r>
      <w:r w:rsidR="006D3C0D">
        <w:rPr>
          <w:rFonts w:cs="Cambria,Bold"/>
          <w:b/>
          <w:bCs/>
          <w:color w:val="548DD4" w:themeColor="text2" w:themeTint="99"/>
        </w:rPr>
        <w:t>de paiement</w:t>
      </w:r>
      <w:r w:rsidRPr="00314637">
        <w:rPr>
          <w:rFonts w:cs="Cambria,Bold"/>
          <w:b/>
          <w:bCs/>
          <w:color w:val="548DD4" w:themeColor="text2" w:themeTint="99"/>
        </w:rPr>
        <w:t xml:space="preserve">: </w:t>
      </w:r>
      <w:r w:rsidR="00701664" w:rsidRPr="00314637">
        <w:rPr>
          <w:rFonts w:cs="Cambria,Bold"/>
          <w:bCs/>
        </w:rPr>
        <w:t>Sont à exclure l</w:t>
      </w:r>
      <w:r w:rsidRPr="00314637">
        <w:rPr>
          <w:rFonts w:cs="Cambria,Bold"/>
          <w:bCs/>
        </w:rPr>
        <w:t>es cartes qui ne sont pas habilitées aux paiements et qui permettent de faire des retraits uniquement sur les GAB/</w:t>
      </w:r>
      <w:r w:rsidR="00701664" w:rsidRPr="00314637">
        <w:rPr>
          <w:rFonts w:cs="Cambria,Bold"/>
          <w:bCs/>
        </w:rPr>
        <w:t>DAB</w:t>
      </w:r>
      <w:r w:rsidRPr="00314637">
        <w:rPr>
          <w:rFonts w:cs="Cambria,Bold"/>
          <w:bCs/>
        </w:rPr>
        <w:t xml:space="preserve"> de l’établissement qui les a émises</w:t>
      </w:r>
      <w:r w:rsidR="002E6800" w:rsidRPr="00314637">
        <w:rPr>
          <w:rFonts w:cs="Cambria,Bold"/>
          <w:bCs/>
        </w:rPr>
        <w:t>,</w:t>
      </w:r>
      <w:r w:rsidR="00314637" w:rsidRPr="00314637">
        <w:rPr>
          <w:rFonts w:cs="Cambria,Bold"/>
          <w:bCs/>
        </w:rPr>
        <w:t xml:space="preserve"> </w:t>
      </w:r>
      <w:r w:rsidR="00314637" w:rsidRPr="001141B0">
        <w:rPr>
          <w:rFonts w:cs="Cambria,Bold"/>
          <w:bCs/>
        </w:rPr>
        <w:t>ainsi que les cartes émises sous le régime réglementaire de la monnaie électronique</w:t>
      </w:r>
      <w:r w:rsidRPr="00314637">
        <w:rPr>
          <w:rFonts w:cs="Cambria,Bold"/>
          <w:bCs/>
        </w:rPr>
        <w:t>.</w:t>
      </w:r>
    </w:p>
    <w:p w14:paraId="2489ABED" w14:textId="77777777" w:rsidR="00C46B10" w:rsidRPr="00C46B10" w:rsidRDefault="00C46B10" w:rsidP="00C46B10">
      <w:pPr>
        <w:pStyle w:val="Paragraphedeliste"/>
        <w:ind w:left="284"/>
        <w:jc w:val="both"/>
      </w:pPr>
    </w:p>
    <w:p w14:paraId="509579B7" w14:textId="77777777" w:rsidR="00B6564A" w:rsidRDefault="00BA75F7" w:rsidP="00495B7F">
      <w:pPr>
        <w:pStyle w:val="Paragraphedeliste"/>
        <w:numPr>
          <w:ilvl w:val="0"/>
          <w:numId w:val="12"/>
        </w:numPr>
        <w:ind w:left="284" w:hanging="284"/>
        <w:jc w:val="both"/>
        <w:rPr>
          <w:rFonts w:cs="Cambria,Bold"/>
          <w:b/>
          <w:bCs/>
          <w:color w:val="548DD4" w:themeColor="text2" w:themeTint="99"/>
        </w:rPr>
      </w:pPr>
      <w:r w:rsidRPr="00C46B10">
        <w:rPr>
          <w:rFonts w:cs="Cambria,Bold"/>
          <w:b/>
          <w:bCs/>
          <w:color w:val="548DD4" w:themeColor="text2" w:themeTint="99"/>
        </w:rPr>
        <w:t xml:space="preserve">Règles spécifiques </w:t>
      </w:r>
      <w:r w:rsidR="00473E96">
        <w:rPr>
          <w:rFonts w:cs="Cambria,Bold"/>
          <w:b/>
          <w:bCs/>
          <w:color w:val="548DD4" w:themeColor="text2" w:themeTint="99"/>
        </w:rPr>
        <w:t xml:space="preserve">devant être appliquées </w:t>
      </w:r>
      <w:r w:rsidRPr="00C46B10">
        <w:rPr>
          <w:rFonts w:cs="Cambria,Bold"/>
          <w:b/>
          <w:bCs/>
          <w:color w:val="548DD4" w:themeColor="text2" w:themeTint="99"/>
        </w:rPr>
        <w:t xml:space="preserve">pour les </w:t>
      </w:r>
      <w:r w:rsidR="007F06C4" w:rsidRPr="00C46B10">
        <w:rPr>
          <w:rFonts w:cs="Cambria,Bold"/>
          <w:b/>
          <w:bCs/>
          <w:color w:val="548DD4" w:themeColor="text2" w:themeTint="99"/>
        </w:rPr>
        <w:t xml:space="preserve">établissements émettant des </w:t>
      </w:r>
      <w:r w:rsidRPr="00C46B10">
        <w:rPr>
          <w:rFonts w:cs="Cambria,Bold"/>
          <w:b/>
          <w:bCs/>
          <w:color w:val="548DD4" w:themeColor="text2" w:themeTint="99"/>
        </w:rPr>
        <w:t>cartes co-badgées (CB-MasterCard ou CB-Visa)</w:t>
      </w:r>
      <w:r w:rsidR="00CB0367" w:rsidRPr="00C46B10">
        <w:rPr>
          <w:rFonts w:cs="Cambria,Bold"/>
          <w:b/>
          <w:bCs/>
          <w:color w:val="548DD4" w:themeColor="text2" w:themeTint="99"/>
        </w:rPr>
        <w:t xml:space="preserve"> </w:t>
      </w:r>
      <w:r w:rsidR="0010111B">
        <w:rPr>
          <w:rFonts w:cs="Cambria,Bold"/>
          <w:b/>
          <w:bCs/>
          <w:color w:val="548DD4" w:themeColor="text2" w:themeTint="99"/>
        </w:rPr>
        <w:t xml:space="preserve">et </w:t>
      </w:r>
      <w:r w:rsidR="00CB0367" w:rsidRPr="00C46B10">
        <w:rPr>
          <w:rFonts w:cs="Cambria,Bold"/>
          <w:b/>
          <w:bCs/>
          <w:color w:val="548DD4" w:themeColor="text2" w:themeTint="99"/>
        </w:rPr>
        <w:t>destinées à prévenir les doubles comptes</w:t>
      </w:r>
      <w:r w:rsidR="00AF3461" w:rsidRPr="00C46B10">
        <w:rPr>
          <w:rFonts w:cs="Cambria,Bold"/>
          <w:b/>
          <w:bCs/>
          <w:color w:val="548DD4" w:themeColor="text2" w:themeTint="99"/>
        </w:rPr>
        <w:t xml:space="preserve"> ou les omissions</w:t>
      </w:r>
      <w:r w:rsidRPr="00C46B10">
        <w:rPr>
          <w:rFonts w:cs="Cambria,Bold"/>
          <w:b/>
          <w:bCs/>
          <w:color w:val="548DD4" w:themeColor="text2" w:themeTint="99"/>
        </w:rPr>
        <w:t xml:space="preserve"> : </w:t>
      </w:r>
    </w:p>
    <w:p w14:paraId="116B3A6C" w14:textId="77777777" w:rsidR="00C46B10" w:rsidRPr="00C46B10" w:rsidRDefault="00C46B10" w:rsidP="00495B7F">
      <w:pPr>
        <w:pStyle w:val="Paragraphedeliste"/>
        <w:jc w:val="both"/>
        <w:rPr>
          <w:rFonts w:cs="Cambria,Bold"/>
          <w:b/>
          <w:bCs/>
          <w:color w:val="548DD4" w:themeColor="text2" w:themeTint="99"/>
        </w:rPr>
      </w:pPr>
    </w:p>
    <w:p w14:paraId="59AD0C03" w14:textId="77777777" w:rsidR="00BA75F7" w:rsidRDefault="00473E96" w:rsidP="00495B7F">
      <w:pPr>
        <w:pStyle w:val="Paragraphedeliste"/>
        <w:numPr>
          <w:ilvl w:val="0"/>
          <w:numId w:val="14"/>
        </w:numPr>
        <w:jc w:val="both"/>
      </w:pPr>
      <w:r>
        <w:rPr>
          <w:b/>
          <w:u w:val="single"/>
        </w:rPr>
        <w:t>P</w:t>
      </w:r>
      <w:r w:rsidR="00BA75F7" w:rsidRPr="00636F65">
        <w:rPr>
          <w:b/>
          <w:u w:val="single"/>
        </w:rPr>
        <w:t>ar le GIE CB</w:t>
      </w:r>
      <w:r w:rsidR="00BA75F7">
        <w:t> : toutes les cartes « CB », y compris celles co-badgées CB-MasterCard ou CB-Vis</w:t>
      </w:r>
      <w:r w:rsidR="00F0345E">
        <w:t xml:space="preserve">a doivent être déclarées dans la section 1.1 </w:t>
      </w:r>
      <w:r w:rsidR="00BA75F7">
        <w:t>;</w:t>
      </w:r>
    </w:p>
    <w:p w14:paraId="5EB2B391" w14:textId="77777777" w:rsidR="00BA75F7" w:rsidRDefault="00BA75F7" w:rsidP="00495B7F">
      <w:pPr>
        <w:pStyle w:val="Paragraphedeliste"/>
        <w:jc w:val="both"/>
      </w:pPr>
    </w:p>
    <w:p w14:paraId="089FB1C6" w14:textId="77777777" w:rsidR="00BA75F7" w:rsidRDefault="00473E96" w:rsidP="00495B7F">
      <w:pPr>
        <w:pStyle w:val="Paragraphedeliste"/>
        <w:numPr>
          <w:ilvl w:val="0"/>
          <w:numId w:val="14"/>
        </w:numPr>
        <w:jc w:val="both"/>
      </w:pPr>
      <w:r>
        <w:rPr>
          <w:b/>
          <w:u w:val="single"/>
        </w:rPr>
        <w:t>P</w:t>
      </w:r>
      <w:r w:rsidR="00BA75F7" w:rsidRPr="00636F65">
        <w:rPr>
          <w:b/>
          <w:u w:val="single"/>
        </w:rPr>
        <w:t>ar MasterCard et Visa</w:t>
      </w:r>
      <w:r w:rsidR="00BA75F7">
        <w:t> : seules les cartes « MasterCard Only » ou « Visa Only » doivent être déclarées dans l</w:t>
      </w:r>
      <w:r w:rsidR="00F0345E">
        <w:t>a section 1.1 ;</w:t>
      </w:r>
      <w:r w:rsidR="00BA75F7">
        <w:t xml:space="preserve"> les cartes co-badgées CB-MasterCard ou CB-Visa sont </w:t>
      </w:r>
      <w:r w:rsidR="00F0345E">
        <w:t xml:space="preserve">donc </w:t>
      </w:r>
      <w:r w:rsidR="00BA75F7">
        <w:t>à exclure.</w:t>
      </w:r>
    </w:p>
    <w:p w14:paraId="7C22F50A" w14:textId="0124905A" w:rsidR="00B6564A" w:rsidRPr="00550B8F" w:rsidRDefault="009F6546" w:rsidP="0077158F">
      <w:r>
        <w:br w:type="page"/>
      </w:r>
      <w:r w:rsidR="007E4607">
        <w:rPr>
          <w:rFonts w:cs="Cambria,Bold"/>
          <w:b/>
          <w:bCs/>
          <w:color w:val="548DD4" w:themeColor="text2" w:themeTint="99"/>
          <w:sz w:val="24"/>
          <w:szCs w:val="24"/>
          <w:u w:val="single"/>
        </w:rPr>
        <w:lastRenderedPageBreak/>
        <w:t xml:space="preserve">Section 1.2 - </w:t>
      </w:r>
      <w:r w:rsidR="00B6564A" w:rsidRPr="0077158F">
        <w:rPr>
          <w:rFonts w:cs="Cambria,Bold"/>
          <w:b/>
          <w:bCs/>
          <w:color w:val="548DD4" w:themeColor="text2" w:themeTint="99"/>
          <w:sz w:val="24"/>
          <w:szCs w:val="24"/>
          <w:u w:val="single"/>
        </w:rPr>
        <w:t>Volume et valeur des transactions</w:t>
      </w:r>
    </w:p>
    <w:p w14:paraId="2553FDE0" w14:textId="552EE378" w:rsidR="00F23B38" w:rsidRDefault="00550B8F" w:rsidP="008067C0">
      <w:pPr>
        <w:pStyle w:val="Paragraphedeliste"/>
        <w:ind w:left="0"/>
        <w:rPr>
          <w:rFonts w:cs="Cambria,Bold"/>
          <w:b/>
          <w:bCs/>
          <w:color w:val="548DD4" w:themeColor="text2" w:themeTint="99"/>
        </w:rPr>
      </w:pPr>
      <w:r w:rsidRPr="00550B8F">
        <w:rPr>
          <w:noProof/>
          <w:lang w:eastAsia="fr-FR"/>
        </w:rPr>
        <w:drawing>
          <wp:inline distT="0" distB="0" distL="0" distR="0" wp14:anchorId="02D95F18" wp14:editId="04C05180">
            <wp:extent cx="5851525" cy="61385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1525" cy="6138545"/>
                    </a:xfrm>
                    <a:prstGeom prst="rect">
                      <a:avLst/>
                    </a:prstGeom>
                  </pic:spPr>
                </pic:pic>
              </a:graphicData>
            </a:graphic>
          </wp:inline>
        </w:drawing>
      </w:r>
    </w:p>
    <w:p w14:paraId="7272521D" w14:textId="77777777" w:rsidR="006E51E1" w:rsidRPr="00B6564A" w:rsidRDefault="006E51E1" w:rsidP="00F23B38">
      <w:pPr>
        <w:pStyle w:val="Paragraphedeliste"/>
        <w:ind w:left="360"/>
        <w:rPr>
          <w:rFonts w:cs="Cambria,Bold"/>
          <w:b/>
          <w:bCs/>
          <w:color w:val="548DD4" w:themeColor="text2" w:themeTint="99"/>
        </w:rPr>
      </w:pPr>
    </w:p>
    <w:p w14:paraId="108DA083" w14:textId="77777777" w:rsidR="001752B5" w:rsidRDefault="001752B5">
      <w:pPr>
        <w:rPr>
          <w:rFonts w:cs="Cambria,Bold"/>
          <w:b/>
          <w:bCs/>
          <w:color w:val="548DD4" w:themeColor="text2" w:themeTint="99"/>
        </w:rPr>
      </w:pPr>
      <w:r>
        <w:rPr>
          <w:rFonts w:cs="Cambria,Bold"/>
          <w:b/>
          <w:bCs/>
          <w:color w:val="548DD4" w:themeColor="text2" w:themeTint="99"/>
        </w:rPr>
        <w:br w:type="page"/>
      </w:r>
    </w:p>
    <w:p w14:paraId="223F3113" w14:textId="54746683" w:rsidR="0054268E" w:rsidRDefault="009470ED" w:rsidP="00164C87">
      <w:pPr>
        <w:pStyle w:val="Paragraphedeliste"/>
        <w:numPr>
          <w:ilvl w:val="0"/>
          <w:numId w:val="12"/>
        </w:numPr>
        <w:ind w:left="284" w:hanging="284"/>
      </w:pPr>
      <w:r>
        <w:rPr>
          <w:rFonts w:cs="Cambria,Bold"/>
          <w:b/>
          <w:bCs/>
          <w:color w:val="548DD4" w:themeColor="text2" w:themeTint="99"/>
        </w:rPr>
        <w:lastRenderedPageBreak/>
        <w:t xml:space="preserve">Type de transaction </w:t>
      </w:r>
      <w:r w:rsidR="00164C87" w:rsidRPr="00164C87">
        <w:rPr>
          <w:rFonts w:cs="Cambria,Bold"/>
          <w:b/>
          <w:bCs/>
          <w:color w:val="548DD4" w:themeColor="text2" w:themeTint="99"/>
        </w:rPr>
        <w:t>:</w:t>
      </w:r>
    </w:p>
    <w:tbl>
      <w:tblPr>
        <w:tblW w:w="9229" w:type="dxa"/>
        <w:tblInd w:w="55" w:type="dxa"/>
        <w:tblCellMar>
          <w:left w:w="70" w:type="dxa"/>
          <w:right w:w="70" w:type="dxa"/>
        </w:tblCellMar>
        <w:tblLook w:val="04A0" w:firstRow="1" w:lastRow="0" w:firstColumn="1" w:lastColumn="0" w:noHBand="0" w:noVBand="1"/>
      </w:tblPr>
      <w:tblGrid>
        <w:gridCol w:w="2425"/>
        <w:gridCol w:w="6804"/>
      </w:tblGrid>
      <w:tr w:rsidR="0054268E" w:rsidRPr="005B346D" w14:paraId="6DBAE993"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hideMark/>
          </w:tcPr>
          <w:p w14:paraId="6D4A704E" w14:textId="77777777" w:rsidR="0054268E" w:rsidRPr="001141B0" w:rsidRDefault="0054268E" w:rsidP="007E4607">
            <w:pPr>
              <w:spacing w:after="0" w:line="240" w:lineRule="auto"/>
              <w:jc w:val="center"/>
              <w:rPr>
                <w:rFonts w:ascii="Calibri" w:eastAsia="Times New Roman" w:hAnsi="Calibri" w:cs="Times New Roman"/>
                <w:b/>
                <w:color w:val="0070C0"/>
                <w:lang w:eastAsia="fr-FR"/>
              </w:rPr>
            </w:pPr>
            <w:r w:rsidRPr="001141B0">
              <w:rPr>
                <w:rFonts w:ascii="Calibri" w:eastAsia="Times New Roman" w:hAnsi="Calibri" w:cs="Times New Roman"/>
                <w:b/>
                <w:color w:val="0070C0"/>
                <w:lang w:eastAsia="fr-FR"/>
              </w:rPr>
              <w:t>Paiement</w:t>
            </w:r>
            <w:r w:rsidR="00DF7D45" w:rsidRPr="001141B0">
              <w:rPr>
                <w:rFonts w:ascii="Calibri" w:eastAsia="Times New Roman" w:hAnsi="Calibri" w:cs="Times New Roman"/>
                <w:b/>
                <w:color w:val="0070C0"/>
                <w:lang w:eastAsia="fr-FR"/>
              </w:rPr>
              <w:t>s</w:t>
            </w:r>
            <w:r w:rsidRPr="001141B0">
              <w:rPr>
                <w:rFonts w:ascii="Calibri" w:eastAsia="Times New Roman" w:hAnsi="Calibri" w:cs="Times New Roman"/>
                <w:b/>
                <w:color w:val="0070C0"/>
                <w:lang w:eastAsia="fr-FR"/>
              </w:rPr>
              <w:t xml:space="preserve"> de proximité et sur automate</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5BC34856" w14:textId="77777777" w:rsidR="0054268E" w:rsidRPr="005B346D" w:rsidRDefault="0054268E" w:rsidP="007E4607">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w:t>
            </w:r>
            <w:r w:rsidR="00DF7D45">
              <w:rPr>
                <w:rFonts w:ascii="Calibri" w:eastAsia="Times New Roman" w:hAnsi="Calibri" w:cs="Times New Roman"/>
                <w:color w:val="000000"/>
                <w:lang w:eastAsia="fr-FR"/>
              </w:rPr>
              <w:t>s</w:t>
            </w:r>
            <w:r>
              <w:rPr>
                <w:rFonts w:ascii="Calibri" w:eastAsia="Times New Roman" w:hAnsi="Calibri" w:cs="Times New Roman"/>
                <w:color w:val="000000"/>
                <w:lang w:eastAsia="fr-FR"/>
              </w:rPr>
              <w:t xml:space="preserve"> réalisé</w:t>
            </w:r>
            <w:r w:rsidR="00DF7D45">
              <w:rPr>
                <w:rFonts w:ascii="Calibri" w:eastAsia="Times New Roman" w:hAnsi="Calibri" w:cs="Times New Roman"/>
                <w:color w:val="000000"/>
                <w:lang w:eastAsia="fr-FR"/>
              </w:rPr>
              <w:t>s</w:t>
            </w:r>
            <w:r>
              <w:rPr>
                <w:rFonts w:ascii="Calibri" w:eastAsia="Times New Roman" w:hAnsi="Calibri" w:cs="Times New Roman"/>
                <w:color w:val="000000"/>
                <w:lang w:eastAsia="fr-FR"/>
              </w:rPr>
              <w:t xml:space="preserve"> au point de vente ou sur automate, y compris le paiement en mode sans contact</w:t>
            </w:r>
          </w:p>
        </w:tc>
      </w:tr>
      <w:tr w:rsidR="008653E0" w:rsidRPr="005B346D" w14:paraId="1003A8EC"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369FA08B" w14:textId="666F7EA2" w:rsidR="008653E0" w:rsidRDefault="008653E0" w:rsidP="00B26E0A">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paiements avec authentification</w:t>
            </w:r>
            <w:r w:rsidR="00B26E0A">
              <w:rPr>
                <w:rFonts w:ascii="Calibri" w:eastAsia="Times New Roman" w:hAnsi="Calibri" w:cs="Times New Roman"/>
                <w:color w:val="0070C0"/>
                <w:lang w:eastAsia="fr-FR"/>
              </w:rPr>
              <w:t xml:space="preserve"> forte</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24DEBCF4" w14:textId="011F384A" w:rsidR="008653E0" w:rsidRDefault="007C2DBE" w:rsidP="0016531D">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Paiements de proximité </w:t>
            </w:r>
            <w:r w:rsidR="00690A7C">
              <w:rPr>
                <w:rFonts w:ascii="Calibri" w:eastAsia="Times New Roman" w:hAnsi="Calibri" w:cs="Times New Roman"/>
                <w:color w:val="000000"/>
                <w:lang w:eastAsia="fr-FR"/>
              </w:rPr>
              <w:t>par carte</w:t>
            </w:r>
            <w:r w:rsidR="00F20BEE">
              <w:rPr>
                <w:rFonts w:ascii="Calibri" w:eastAsia="Times New Roman" w:hAnsi="Calibri" w:cs="Times New Roman"/>
                <w:color w:val="000000"/>
                <w:lang w:eastAsia="fr-FR"/>
              </w:rPr>
              <w:t xml:space="preserve"> pour lesquels une authentification forte du client a eu lieu. Par exemple, paiements</w:t>
            </w:r>
            <w:r w:rsidR="00690A7C">
              <w:rPr>
                <w:rFonts w:ascii="Calibri" w:eastAsia="Times New Roman" w:hAnsi="Calibri" w:cs="Times New Roman"/>
                <w:color w:val="000000"/>
                <w:lang w:eastAsia="fr-FR"/>
              </w:rPr>
              <w:t xml:space="preserve"> </w:t>
            </w:r>
            <w:r>
              <w:rPr>
                <w:rFonts w:ascii="Calibri" w:eastAsia="Times New Roman" w:hAnsi="Calibri" w:cs="Times New Roman"/>
                <w:color w:val="000000"/>
                <w:lang w:eastAsia="fr-FR"/>
              </w:rPr>
              <w:t>en mode « chip&amp;PIN »</w:t>
            </w:r>
            <w:r w:rsidR="001A7782">
              <w:rPr>
                <w:rFonts w:ascii="Calibri" w:eastAsia="Times New Roman" w:hAnsi="Calibri" w:cs="Times New Roman"/>
                <w:color w:val="000000"/>
                <w:lang w:eastAsia="fr-FR"/>
              </w:rPr>
              <w:t xml:space="preserve">, </w:t>
            </w:r>
            <w:r w:rsidR="001F662F">
              <w:rPr>
                <w:rFonts w:ascii="Calibri" w:eastAsia="Times New Roman" w:hAnsi="Calibri" w:cs="Times New Roman"/>
                <w:color w:val="000000"/>
                <w:lang w:eastAsia="fr-FR"/>
              </w:rPr>
              <w:t xml:space="preserve">avec vérification du PIN en ligne (PIN Online), </w:t>
            </w:r>
            <w:r w:rsidR="001A7782">
              <w:rPr>
                <w:rFonts w:ascii="Calibri" w:eastAsia="Times New Roman" w:hAnsi="Calibri" w:cs="Times New Roman"/>
                <w:color w:val="000000"/>
                <w:lang w:eastAsia="fr-FR"/>
              </w:rPr>
              <w:t>par carte biométrique</w:t>
            </w:r>
            <w:r w:rsidR="00690A7C">
              <w:rPr>
                <w:rFonts w:ascii="Calibri" w:eastAsia="Times New Roman" w:hAnsi="Calibri" w:cs="Times New Roman"/>
                <w:color w:val="000000"/>
                <w:lang w:eastAsia="fr-FR"/>
              </w:rPr>
              <w:t xml:space="preserve"> ou par téléphone mobile avec lecture d’une empreinte biométrique</w:t>
            </w:r>
            <w:r w:rsidR="001F662F">
              <w:rPr>
                <w:rFonts w:ascii="Calibri" w:eastAsia="Times New Roman" w:hAnsi="Calibri" w:cs="Times New Roman"/>
                <w:color w:val="000000"/>
                <w:lang w:eastAsia="fr-FR"/>
              </w:rPr>
              <w:t>,</w:t>
            </w:r>
            <w:r w:rsidR="00F20BEE">
              <w:rPr>
                <w:rFonts w:ascii="Calibri" w:eastAsia="Times New Roman" w:hAnsi="Calibri" w:cs="Times New Roman"/>
                <w:color w:val="000000"/>
                <w:lang w:eastAsia="fr-FR"/>
              </w:rPr>
              <w:t xml:space="preserve"> saisie d’un</w:t>
            </w:r>
            <w:r w:rsidR="00B26E0A">
              <w:rPr>
                <w:rFonts w:ascii="Calibri" w:eastAsia="Times New Roman" w:hAnsi="Calibri" w:cs="Times New Roman"/>
                <w:color w:val="000000"/>
                <w:lang w:eastAsia="fr-FR"/>
              </w:rPr>
              <w:t xml:space="preserve"> mPIN ou d’un</w:t>
            </w:r>
            <w:r w:rsidR="00F20BEE">
              <w:rPr>
                <w:rFonts w:ascii="Calibri" w:eastAsia="Times New Roman" w:hAnsi="Calibri" w:cs="Times New Roman"/>
                <w:color w:val="000000"/>
                <w:lang w:eastAsia="fr-FR"/>
              </w:rPr>
              <w:t xml:space="preserve"> mot de passe.</w:t>
            </w:r>
          </w:p>
        </w:tc>
      </w:tr>
      <w:tr w:rsidR="008653E0" w:rsidRPr="005B346D" w14:paraId="633C2F4D"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777415C3" w14:textId="081CA282" w:rsidR="008653E0" w:rsidRDefault="008653E0" w:rsidP="00B26E0A">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paiements sans authentification</w:t>
            </w:r>
            <w:r w:rsidR="00B26E0A">
              <w:rPr>
                <w:rFonts w:ascii="Calibri" w:eastAsia="Times New Roman" w:hAnsi="Calibri" w:cs="Times New Roman"/>
                <w:color w:val="0070C0"/>
                <w:lang w:eastAsia="fr-FR"/>
              </w:rPr>
              <w:t xml:space="preserve"> forte</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3B73C43D" w14:textId="2FAA3FB3" w:rsidR="008653E0" w:rsidRDefault="007C2DBE" w:rsidP="00AB01D4">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Paiements de proximité </w:t>
            </w:r>
            <w:r w:rsidR="00690A7C">
              <w:rPr>
                <w:rFonts w:ascii="Calibri" w:eastAsia="Times New Roman" w:hAnsi="Calibri" w:cs="Times New Roman"/>
                <w:color w:val="000000"/>
                <w:lang w:eastAsia="fr-FR"/>
              </w:rPr>
              <w:t>par carte</w:t>
            </w:r>
            <w:r w:rsidR="00F20BEE">
              <w:rPr>
                <w:rFonts w:ascii="Calibri" w:eastAsia="Times New Roman" w:hAnsi="Calibri" w:cs="Times New Roman"/>
                <w:color w:val="000000"/>
                <w:lang w:eastAsia="fr-FR"/>
              </w:rPr>
              <w:t xml:space="preserve"> pour lesquels il n’y a pas eu d’authentification forte, par exemple</w:t>
            </w:r>
            <w:r w:rsidR="00690A7C">
              <w:rPr>
                <w:rFonts w:ascii="Calibri" w:eastAsia="Times New Roman" w:hAnsi="Calibri" w:cs="Times New Roman"/>
                <w:color w:val="000000"/>
                <w:lang w:eastAsia="fr-FR"/>
              </w:rPr>
              <w:t xml:space="preserve"> </w:t>
            </w:r>
            <w:r w:rsidR="00AB01D4">
              <w:rPr>
                <w:rFonts w:ascii="Calibri" w:eastAsia="Times New Roman" w:hAnsi="Calibri" w:cs="Times New Roman"/>
                <w:color w:val="000000"/>
                <w:lang w:eastAsia="fr-FR"/>
              </w:rPr>
              <w:t>carte à piste ou à puce avec signature manuscrite</w:t>
            </w:r>
            <w:r w:rsidR="00F20BEE">
              <w:rPr>
                <w:rFonts w:ascii="Calibri" w:eastAsia="Times New Roman" w:hAnsi="Calibri" w:cs="Times New Roman"/>
                <w:color w:val="000000"/>
                <w:lang w:eastAsia="fr-FR"/>
              </w:rPr>
              <w:t xml:space="preserve">, </w:t>
            </w:r>
            <w:r w:rsidR="00AB01D4">
              <w:rPr>
                <w:rFonts w:ascii="Calibri" w:eastAsia="Times New Roman" w:hAnsi="Calibri" w:cs="Times New Roman"/>
                <w:color w:val="000000"/>
                <w:lang w:eastAsia="fr-FR"/>
              </w:rPr>
              <w:t xml:space="preserve">carte </w:t>
            </w:r>
            <w:r w:rsidR="00F20BEE">
              <w:rPr>
                <w:rFonts w:ascii="Calibri" w:eastAsia="Times New Roman" w:hAnsi="Calibri" w:cs="Times New Roman"/>
                <w:color w:val="000000"/>
                <w:lang w:eastAsia="fr-FR"/>
              </w:rPr>
              <w:t>en mode sans contact</w:t>
            </w:r>
            <w:r w:rsidR="00AB01D4">
              <w:rPr>
                <w:rFonts w:ascii="Calibri" w:eastAsia="Times New Roman" w:hAnsi="Calibri" w:cs="Times New Roman"/>
                <w:color w:val="000000"/>
                <w:lang w:eastAsia="fr-FR"/>
              </w:rPr>
              <w:t xml:space="preserve"> sans vérification d’empreinte biométrique ou du PIN en ligne (PIN Online)</w:t>
            </w:r>
            <w:r w:rsidR="00F20BEE">
              <w:rPr>
                <w:rFonts w:ascii="Calibri" w:eastAsia="Times New Roman" w:hAnsi="Calibri" w:cs="Times New Roman"/>
                <w:color w:val="000000"/>
                <w:lang w:eastAsia="fr-FR"/>
              </w:rPr>
              <w:t>,</w:t>
            </w:r>
            <w:r w:rsidR="00690A7C">
              <w:rPr>
                <w:rFonts w:ascii="Calibri" w:eastAsia="Times New Roman" w:hAnsi="Calibri" w:cs="Times New Roman"/>
                <w:color w:val="000000"/>
                <w:lang w:eastAsia="fr-FR"/>
              </w:rPr>
              <w:t xml:space="preserve"> ou par téléphone mobile sans </w:t>
            </w:r>
            <w:r w:rsidR="00F20BEE">
              <w:rPr>
                <w:rFonts w:ascii="Calibri" w:eastAsia="Times New Roman" w:hAnsi="Calibri" w:cs="Times New Roman"/>
                <w:color w:val="000000"/>
                <w:lang w:eastAsia="fr-FR"/>
              </w:rPr>
              <w:t>facteur d’authentification d’inhérence (</w:t>
            </w:r>
            <w:r w:rsidR="00690A7C">
              <w:rPr>
                <w:rFonts w:ascii="Calibri" w:eastAsia="Times New Roman" w:hAnsi="Calibri" w:cs="Times New Roman"/>
                <w:color w:val="000000"/>
                <w:lang w:eastAsia="fr-FR"/>
              </w:rPr>
              <w:t>lecture d’une empreinte biométrique</w:t>
            </w:r>
            <w:r w:rsidR="00F20BEE">
              <w:rPr>
                <w:rFonts w:ascii="Calibri" w:eastAsia="Times New Roman" w:hAnsi="Calibri" w:cs="Times New Roman"/>
                <w:color w:val="000000"/>
                <w:lang w:eastAsia="fr-FR"/>
              </w:rPr>
              <w:t>)</w:t>
            </w:r>
            <w:r w:rsidR="00690A7C">
              <w:rPr>
                <w:rFonts w:ascii="Calibri" w:eastAsia="Times New Roman" w:hAnsi="Calibri" w:cs="Times New Roman"/>
                <w:color w:val="000000"/>
                <w:lang w:eastAsia="fr-FR"/>
              </w:rPr>
              <w:t xml:space="preserve"> </w:t>
            </w:r>
            <w:r w:rsidR="00F20BEE">
              <w:rPr>
                <w:rFonts w:ascii="Calibri" w:eastAsia="Times New Roman" w:hAnsi="Calibri" w:cs="Times New Roman"/>
                <w:color w:val="000000"/>
                <w:lang w:eastAsia="fr-FR"/>
              </w:rPr>
              <w:t>ou de connaissance (mot de passe).</w:t>
            </w:r>
          </w:p>
        </w:tc>
      </w:tr>
      <w:tr w:rsidR="00525878" w:rsidRPr="005B346D" w14:paraId="0CAEEE4E"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6EF8055" w14:textId="77777777" w:rsidR="00525878" w:rsidRDefault="00525878" w:rsidP="00100766">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 xml:space="preserve">Dont paiements sans </w:t>
            </w:r>
            <w:r w:rsidR="00100766">
              <w:rPr>
                <w:rFonts w:ascii="Calibri" w:eastAsia="Times New Roman" w:hAnsi="Calibri" w:cs="Times New Roman"/>
                <w:color w:val="0070C0"/>
                <w:lang w:eastAsia="fr-FR"/>
              </w:rPr>
              <w:t>contact</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7D1AEACE" w14:textId="2FA0C6DC" w:rsidR="00525878" w:rsidRDefault="00100766" w:rsidP="007E4607">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w:t>
            </w:r>
            <w:r w:rsidR="00DF7D45">
              <w:rPr>
                <w:rFonts w:ascii="Calibri" w:eastAsia="Times New Roman" w:hAnsi="Calibri" w:cs="Times New Roman"/>
                <w:color w:val="000000"/>
                <w:lang w:eastAsia="fr-FR"/>
              </w:rPr>
              <w:t>s</w:t>
            </w:r>
            <w:r>
              <w:rPr>
                <w:rFonts w:ascii="Calibri" w:eastAsia="Times New Roman" w:hAnsi="Calibri" w:cs="Times New Roman"/>
                <w:color w:val="000000"/>
                <w:lang w:eastAsia="fr-FR"/>
              </w:rPr>
              <w:t xml:space="preserve"> </w:t>
            </w:r>
            <w:r w:rsidR="00B72BD1">
              <w:rPr>
                <w:rFonts w:ascii="Calibri" w:eastAsia="Times New Roman" w:hAnsi="Calibri" w:cs="Times New Roman"/>
                <w:color w:val="000000"/>
                <w:lang w:eastAsia="fr-FR"/>
              </w:rPr>
              <w:t xml:space="preserve">de proximité </w:t>
            </w:r>
            <w:r w:rsidR="0016531D">
              <w:rPr>
                <w:rFonts w:ascii="Calibri" w:eastAsia="Times New Roman" w:hAnsi="Calibri" w:cs="Times New Roman"/>
                <w:color w:val="000000"/>
                <w:lang w:eastAsia="fr-FR"/>
              </w:rPr>
              <w:t>en mode sans contact</w:t>
            </w:r>
          </w:p>
        </w:tc>
      </w:tr>
      <w:tr w:rsidR="0078544F" w:rsidRPr="005B346D" w14:paraId="1605E5B5"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DF8D76A" w14:textId="77777777" w:rsidR="0078544F" w:rsidRDefault="0078544F"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paiements mobiles</w:t>
            </w:r>
          </w:p>
          <w:p w14:paraId="3E6CD660" w14:textId="77777777" w:rsidR="00717D8F" w:rsidRPr="00FF57F7" w:rsidRDefault="00717D8F" w:rsidP="007E4607">
            <w:pPr>
              <w:spacing w:after="0" w:line="240" w:lineRule="auto"/>
              <w:jc w:val="center"/>
              <w:rPr>
                <w:rFonts w:ascii="Calibri" w:eastAsia="Times New Roman" w:hAnsi="Calibri" w:cs="Times New Roman"/>
                <w:color w:val="FF0000"/>
                <w:lang w:eastAsia="fr-FR"/>
              </w:rPr>
            </w:pP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7068E4AF" w14:textId="1CE069E5" w:rsidR="0078544F" w:rsidRPr="00704767" w:rsidRDefault="0078544F" w:rsidP="00B72BD1">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Paiements </w:t>
            </w:r>
            <w:r w:rsidR="00B72BD1">
              <w:rPr>
                <w:rFonts w:ascii="Calibri" w:eastAsia="Times New Roman" w:hAnsi="Calibri" w:cs="Times New Roman"/>
                <w:color w:val="000000"/>
                <w:lang w:eastAsia="fr-FR"/>
              </w:rPr>
              <w:t xml:space="preserve">de proximité dans lesquels un </w:t>
            </w:r>
            <w:r w:rsidR="009B22C3">
              <w:rPr>
                <w:rFonts w:ascii="Calibri" w:eastAsia="Times New Roman" w:hAnsi="Calibri" w:cs="Times New Roman"/>
                <w:color w:val="000000"/>
                <w:lang w:eastAsia="fr-FR"/>
              </w:rPr>
              <w:t>appareil mobile (téléphone, tablette, montre connectée…) est utilisé pour initier un ordre de paiement</w:t>
            </w:r>
            <w:r w:rsidR="00704767">
              <w:rPr>
                <w:rFonts w:ascii="Calibri" w:eastAsia="Times New Roman" w:hAnsi="Calibri" w:cs="Times New Roman"/>
                <w:color w:val="000000"/>
                <w:lang w:eastAsia="fr-FR"/>
              </w:rPr>
              <w:t xml:space="preserve"> </w:t>
            </w:r>
            <w:r w:rsidR="00E05518">
              <w:rPr>
                <w:rFonts w:ascii="Calibri" w:eastAsia="Times New Roman" w:hAnsi="Calibri" w:cs="Times New Roman"/>
                <w:color w:val="000000"/>
                <w:lang w:eastAsia="fr-FR"/>
              </w:rPr>
              <w:t xml:space="preserve">par </w:t>
            </w:r>
            <w:r w:rsidR="00704767">
              <w:rPr>
                <w:rFonts w:ascii="Calibri" w:eastAsia="Times New Roman" w:hAnsi="Calibri" w:cs="Times New Roman"/>
                <w:color w:val="000000"/>
                <w:lang w:eastAsia="fr-FR"/>
              </w:rPr>
              <w:t xml:space="preserve">une technologie sans contact (par exemple : </w:t>
            </w:r>
            <w:r w:rsidR="00E05518">
              <w:rPr>
                <w:rFonts w:ascii="Calibri" w:eastAsia="Times New Roman" w:hAnsi="Calibri" w:cs="Times New Roman"/>
                <w:color w:val="000000"/>
                <w:lang w:eastAsia="fr-FR"/>
              </w:rPr>
              <w:t>NFC,</w:t>
            </w:r>
            <w:r w:rsidR="00704767">
              <w:rPr>
                <w:rFonts w:ascii="Calibri" w:eastAsia="Times New Roman" w:hAnsi="Calibri" w:cs="Times New Roman"/>
                <w:color w:val="000000"/>
                <w:lang w:eastAsia="fr-FR"/>
              </w:rPr>
              <w:t xml:space="preserve"> Bluetooth,</w:t>
            </w:r>
            <w:r w:rsidR="00E05518">
              <w:rPr>
                <w:rFonts w:ascii="Calibri" w:eastAsia="Times New Roman" w:hAnsi="Calibri" w:cs="Times New Roman"/>
                <w:color w:val="000000"/>
                <w:lang w:eastAsia="fr-FR"/>
              </w:rPr>
              <w:t xml:space="preserve"> code barre à 1 ou 2 dimensions</w:t>
            </w:r>
            <w:r w:rsidR="00704767">
              <w:rPr>
                <w:rFonts w:ascii="Calibri" w:eastAsia="Times New Roman" w:hAnsi="Calibri" w:cs="Times New Roman"/>
                <w:color w:val="000000"/>
                <w:lang w:eastAsia="fr-FR"/>
              </w:rPr>
              <w:t>)</w:t>
            </w:r>
            <w:r w:rsidR="009B22C3">
              <w:rPr>
                <w:rFonts w:ascii="Calibri" w:eastAsia="Times New Roman" w:hAnsi="Calibri" w:cs="Times New Roman"/>
                <w:color w:val="000000"/>
                <w:lang w:eastAsia="fr-FR"/>
              </w:rPr>
              <w:t xml:space="preserve"> et éventuelle</w:t>
            </w:r>
            <w:r w:rsidR="00B72BD1">
              <w:rPr>
                <w:rFonts w:ascii="Calibri" w:eastAsia="Times New Roman" w:hAnsi="Calibri" w:cs="Times New Roman"/>
                <w:color w:val="000000"/>
                <w:lang w:eastAsia="fr-FR"/>
              </w:rPr>
              <w:t>ment pour le transfert de fonds</w:t>
            </w:r>
            <w:r w:rsidR="00704767">
              <w:rPr>
                <w:rFonts w:ascii="Calibri" w:eastAsia="Times New Roman" w:hAnsi="Calibri" w:cs="Times New Roman"/>
                <w:color w:val="000000"/>
                <w:lang w:eastAsia="fr-FR"/>
              </w:rPr>
              <w:t>.</w:t>
            </w:r>
            <w:r w:rsidR="002C5B28">
              <w:rPr>
                <w:rFonts w:ascii="Calibri" w:eastAsia="Times New Roman" w:hAnsi="Calibri" w:cs="Times New Roman"/>
                <w:color w:val="000000"/>
                <w:lang w:eastAsia="fr-FR"/>
              </w:rPr>
              <w:t xml:space="preserve"> </w:t>
            </w:r>
            <w:r w:rsidR="00704767">
              <w:rPr>
                <w:rFonts w:ascii="Calibri" w:eastAsia="Times New Roman" w:hAnsi="Calibri" w:cs="Times New Roman"/>
                <w:color w:val="000000"/>
                <w:lang w:eastAsia="fr-FR"/>
              </w:rPr>
              <w:t>Parmi les offres les plus connues, citons</w:t>
            </w:r>
            <w:r w:rsidR="002C5B28" w:rsidRPr="00704767">
              <w:rPr>
                <w:rFonts w:ascii="Calibri" w:eastAsia="Times New Roman" w:hAnsi="Calibri" w:cs="Times New Roman"/>
                <w:color w:val="000000"/>
                <w:lang w:eastAsia="fr-FR"/>
              </w:rPr>
              <w:t xml:space="preserve"> par exemple, Apple Pay</w:t>
            </w:r>
            <w:r w:rsidR="00E05518" w:rsidRPr="00704767">
              <w:rPr>
                <w:rFonts w:ascii="Calibri" w:eastAsia="Times New Roman" w:hAnsi="Calibri" w:cs="Times New Roman"/>
                <w:color w:val="000000"/>
                <w:lang w:eastAsia="fr-FR"/>
              </w:rPr>
              <w:t>, Samsung Pay, Google Pay</w:t>
            </w:r>
            <w:r w:rsidR="002C5B28" w:rsidRPr="00704767">
              <w:rPr>
                <w:rFonts w:ascii="Calibri" w:eastAsia="Times New Roman" w:hAnsi="Calibri" w:cs="Times New Roman"/>
                <w:color w:val="000000"/>
                <w:lang w:eastAsia="fr-FR"/>
              </w:rPr>
              <w:t>, L</w:t>
            </w:r>
            <w:r w:rsidR="00E05518" w:rsidRPr="00704767">
              <w:rPr>
                <w:rFonts w:ascii="Calibri" w:eastAsia="Times New Roman" w:hAnsi="Calibri" w:cs="Times New Roman"/>
                <w:color w:val="000000"/>
                <w:lang w:eastAsia="fr-FR"/>
              </w:rPr>
              <w:t>y</w:t>
            </w:r>
            <w:r w:rsidR="002C5B28" w:rsidRPr="00704767">
              <w:rPr>
                <w:rFonts w:ascii="Calibri" w:eastAsia="Times New Roman" w:hAnsi="Calibri" w:cs="Times New Roman"/>
                <w:color w:val="000000"/>
                <w:lang w:eastAsia="fr-FR"/>
              </w:rPr>
              <w:t>f, Paylib</w:t>
            </w:r>
            <w:r w:rsidR="00E05518" w:rsidRPr="00704767">
              <w:rPr>
                <w:rFonts w:ascii="Calibri" w:eastAsia="Times New Roman" w:hAnsi="Calibri" w:cs="Times New Roman"/>
                <w:color w:val="000000"/>
                <w:lang w:eastAsia="fr-FR"/>
              </w:rPr>
              <w:t xml:space="preserve"> sans contact</w:t>
            </w:r>
            <w:r w:rsidR="00704767">
              <w:rPr>
                <w:rFonts w:ascii="Calibri" w:eastAsia="Times New Roman" w:hAnsi="Calibri" w:cs="Times New Roman"/>
                <w:color w:val="000000"/>
                <w:lang w:eastAsia="fr-FR"/>
              </w:rPr>
              <w:t>.</w:t>
            </w:r>
          </w:p>
          <w:p w14:paraId="0319F62E" w14:textId="3A942F39" w:rsidR="00717D8F" w:rsidRDefault="00717D8F" w:rsidP="00F20BEE">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FF0000"/>
                <w:lang w:eastAsia="fr-FR"/>
              </w:rPr>
              <w:sym w:font="Wingdings" w:char="F04D"/>
            </w:r>
            <w:r>
              <w:rPr>
                <w:rFonts w:ascii="Calibri" w:eastAsia="Times New Roman" w:hAnsi="Calibri" w:cs="Times New Roman"/>
                <w:color w:val="FF0000"/>
                <w:lang w:eastAsia="fr-FR"/>
              </w:rPr>
              <w:t> </w:t>
            </w:r>
            <w:r w:rsidR="009A56B2">
              <w:rPr>
                <w:rFonts w:ascii="Calibri" w:eastAsia="Times New Roman" w:hAnsi="Calibri" w:cs="Times New Roman"/>
                <w:color w:val="FF0000"/>
                <w:lang w:eastAsia="fr-FR"/>
              </w:rPr>
              <w:t xml:space="preserve">Les </w:t>
            </w:r>
            <w:r w:rsidR="00F20BEE">
              <w:rPr>
                <w:rFonts w:ascii="Calibri" w:eastAsia="Times New Roman" w:hAnsi="Calibri" w:cs="Calibri"/>
                <w:color w:val="FF0000"/>
                <w:lang w:eastAsia="fr-FR"/>
              </w:rPr>
              <w:t>«</w:t>
            </w:r>
            <w:r w:rsidR="00F20BEE">
              <w:rPr>
                <w:rFonts w:ascii="Calibri" w:eastAsia="Times New Roman" w:hAnsi="Calibri" w:cs="Times New Roman"/>
                <w:color w:val="FF0000"/>
                <w:lang w:eastAsia="fr-FR"/>
              </w:rPr>
              <w:t xml:space="preserve"> </w:t>
            </w:r>
            <w:r>
              <w:rPr>
                <w:rFonts w:ascii="Calibri" w:eastAsia="Times New Roman" w:hAnsi="Calibri" w:cs="Times New Roman"/>
                <w:color w:val="FF0000"/>
                <w:lang w:eastAsia="fr-FR"/>
              </w:rPr>
              <w:t>paiements mobiles » sont un sous-ensemble de « paiements sans contact</w:t>
            </w:r>
            <w:r w:rsidR="00F20BEE">
              <w:rPr>
                <w:rFonts w:ascii="Calibri" w:eastAsia="Times New Roman" w:hAnsi="Calibri" w:cs="Times New Roman"/>
                <w:color w:val="FF0000"/>
                <w:lang w:eastAsia="fr-FR"/>
              </w:rPr>
              <w:t xml:space="preserve"> </w:t>
            </w:r>
            <w:r>
              <w:rPr>
                <w:rFonts w:ascii="Calibri" w:eastAsia="Times New Roman" w:hAnsi="Calibri" w:cs="Times New Roman"/>
                <w:color w:val="FF0000"/>
                <w:lang w:eastAsia="fr-FR"/>
              </w:rPr>
              <w:t>»</w:t>
            </w:r>
          </w:p>
        </w:tc>
      </w:tr>
      <w:tr w:rsidR="008653E0" w:rsidRPr="005B346D" w14:paraId="440E163A" w14:textId="77777777" w:rsidTr="00525878">
        <w:trPr>
          <w:trHeight w:val="750"/>
        </w:trPr>
        <w:tc>
          <w:tcPr>
            <w:tcW w:w="2425" w:type="dxa"/>
            <w:tcBorders>
              <w:left w:val="single" w:sz="12" w:space="0" w:color="0070C0"/>
              <w:bottom w:val="single" w:sz="12" w:space="0" w:color="0070C0"/>
              <w:right w:val="single" w:sz="12" w:space="0" w:color="0070C0"/>
            </w:tcBorders>
            <w:shd w:val="clear" w:color="auto" w:fill="auto"/>
            <w:vAlign w:val="center"/>
          </w:tcPr>
          <w:p w14:paraId="7B49FD8F" w14:textId="77777777" w:rsidR="008653E0" w:rsidRDefault="008653E0"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autres</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60915F9E" w14:textId="77777777" w:rsidR="008653E0" w:rsidRDefault="007C2DBE" w:rsidP="0016531D">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Paiements sur automates de parking ou</w:t>
            </w:r>
            <w:r w:rsidRPr="007C2DBE">
              <w:rPr>
                <w:rFonts w:ascii="Calibri" w:eastAsia="Times New Roman" w:hAnsi="Calibri" w:cs="Times New Roman"/>
                <w:color w:val="000000"/>
                <w:lang w:eastAsia="fr-FR"/>
              </w:rPr>
              <w:t xml:space="preserve"> d'autoroute</w:t>
            </w:r>
            <w:r>
              <w:rPr>
                <w:rFonts w:ascii="Calibri" w:eastAsia="Times New Roman" w:hAnsi="Calibri" w:cs="Times New Roman"/>
                <w:color w:val="000000"/>
                <w:lang w:eastAsia="fr-FR"/>
              </w:rPr>
              <w:t>,</w:t>
            </w:r>
            <w:r w:rsidRPr="007C2DBE">
              <w:rPr>
                <w:rFonts w:ascii="Calibri" w:eastAsia="Times New Roman" w:hAnsi="Calibri" w:cs="Times New Roman"/>
                <w:color w:val="000000"/>
                <w:lang w:eastAsia="fr-FR"/>
              </w:rPr>
              <w:t xml:space="preserve"> par exemple</w:t>
            </w:r>
            <w:r>
              <w:rPr>
                <w:rFonts w:ascii="Calibri" w:eastAsia="Times New Roman" w:hAnsi="Calibri" w:cs="Times New Roman"/>
                <w:color w:val="000000"/>
                <w:lang w:eastAsia="fr-FR"/>
              </w:rPr>
              <w:t>, avec lecture de la piste magnétique de la carte</w:t>
            </w:r>
          </w:p>
        </w:tc>
      </w:tr>
      <w:tr w:rsidR="0078544F" w:rsidRPr="005B346D" w14:paraId="7E6C374E"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B778323" w14:textId="77777777" w:rsidR="0078544F" w:rsidRPr="001141B0" w:rsidRDefault="0078544F" w:rsidP="007E4607">
            <w:pPr>
              <w:spacing w:after="0" w:line="240" w:lineRule="auto"/>
              <w:jc w:val="center"/>
              <w:rPr>
                <w:rFonts w:ascii="Calibri" w:eastAsia="Times New Roman" w:hAnsi="Calibri" w:cs="Times New Roman"/>
                <w:b/>
                <w:color w:val="0070C0"/>
                <w:lang w:eastAsia="fr-FR"/>
              </w:rPr>
            </w:pPr>
            <w:r w:rsidRPr="001141B0">
              <w:rPr>
                <w:rFonts w:ascii="Calibri" w:eastAsia="Times New Roman" w:hAnsi="Calibri" w:cs="Times New Roman"/>
                <w:b/>
                <w:color w:val="0070C0"/>
                <w:lang w:eastAsia="fr-FR"/>
              </w:rPr>
              <w:t>Paiements à distance (hors internet)</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62EECE46" w14:textId="77777777" w:rsidR="0078544F" w:rsidRPr="005B346D" w:rsidRDefault="0078544F" w:rsidP="00F20BEE">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Paiements réalisés par courrier</w:t>
            </w:r>
            <w:r w:rsidR="00F20BEE">
              <w:rPr>
                <w:rFonts w:ascii="Calibri" w:eastAsia="Times New Roman" w:hAnsi="Calibri" w:cs="Times New Roman"/>
                <w:color w:val="000000"/>
                <w:lang w:eastAsia="fr-FR"/>
              </w:rPr>
              <w:t>, postal ou électronique (courriel),</w:t>
            </w:r>
            <w:r>
              <w:rPr>
                <w:rFonts w:ascii="Calibri" w:eastAsia="Times New Roman" w:hAnsi="Calibri" w:cs="Times New Roman"/>
                <w:color w:val="000000"/>
                <w:lang w:eastAsia="fr-FR"/>
              </w:rPr>
              <w:t xml:space="preserve"> ou par fax/téléphone (ou MOTO)</w:t>
            </w:r>
          </w:p>
        </w:tc>
      </w:tr>
      <w:tr w:rsidR="007D1664" w:rsidRPr="005B346D" w14:paraId="3C22CB1C"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3739310C" w14:textId="63AAEDF6" w:rsidR="007D1664" w:rsidRPr="001141B0" w:rsidRDefault="007D1664" w:rsidP="007E4607">
            <w:pPr>
              <w:spacing w:after="0" w:line="240" w:lineRule="auto"/>
              <w:jc w:val="center"/>
              <w:rPr>
                <w:rFonts w:ascii="Calibri" w:eastAsia="Times New Roman" w:hAnsi="Calibri" w:cs="Times New Roman"/>
                <w:b/>
                <w:color w:val="0070C0"/>
                <w:lang w:eastAsia="fr-FR"/>
              </w:rPr>
            </w:pPr>
            <w:r w:rsidRPr="001141B0">
              <w:rPr>
                <w:rFonts w:ascii="Calibri" w:eastAsia="Times New Roman" w:hAnsi="Calibri" w:cs="Times New Roman"/>
                <w:b/>
                <w:color w:val="0070C0"/>
                <w:lang w:eastAsia="fr-FR"/>
              </w:rPr>
              <w:t>Paiements sur internet</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281B589A" w14:textId="34E8CCE9" w:rsidR="007D1664" w:rsidRDefault="007D1664" w:rsidP="00F20BEE">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Paiements réalisés sur Internet (site commerçant ou via application)</w:t>
            </w:r>
          </w:p>
        </w:tc>
      </w:tr>
      <w:tr w:rsidR="002E6800" w:rsidRPr="005B346D" w14:paraId="49669F46"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045C75C8" w14:textId="5F637172" w:rsidR="002E6800" w:rsidRPr="00B84667" w:rsidRDefault="002E6800" w:rsidP="008F0EFE">
            <w:pPr>
              <w:spacing w:after="0" w:line="240" w:lineRule="auto"/>
              <w:jc w:val="center"/>
              <w:rPr>
                <w:rFonts w:ascii="Calibri" w:eastAsia="Times New Roman" w:hAnsi="Calibri" w:cs="Times New Roman"/>
                <w:color w:val="0070C0"/>
                <w:highlight w:val="yellow"/>
                <w:lang w:eastAsia="fr-FR"/>
              </w:rPr>
            </w:pPr>
            <w:r w:rsidRPr="002E6800">
              <w:rPr>
                <w:rFonts w:ascii="Calibri" w:eastAsia="Times New Roman" w:hAnsi="Calibri" w:cs="Times New Roman"/>
                <w:color w:val="0070C0"/>
                <w:lang w:eastAsia="fr-FR"/>
              </w:rPr>
              <w:t xml:space="preserve">Dont </w:t>
            </w:r>
            <w:r w:rsidR="008F0EFE">
              <w:rPr>
                <w:rFonts w:ascii="Calibri" w:eastAsia="Times New Roman" w:hAnsi="Calibri" w:cs="Times New Roman"/>
                <w:color w:val="0070C0"/>
                <w:lang w:eastAsia="fr-FR"/>
              </w:rPr>
              <w:t>p</w:t>
            </w:r>
            <w:r w:rsidRPr="002E6800">
              <w:rPr>
                <w:rFonts w:ascii="Calibri" w:eastAsia="Times New Roman" w:hAnsi="Calibri" w:cs="Times New Roman"/>
                <w:color w:val="0070C0"/>
                <w:lang w:eastAsia="fr-FR"/>
              </w:rPr>
              <w:t>aiements 3D Secure avec authentification forte</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6A1F2F4D" w14:textId="13057699" w:rsidR="002E6800" w:rsidRPr="002E6800" w:rsidRDefault="002E6800" w:rsidP="00F20BEE">
            <w:pPr>
              <w:spacing w:after="0" w:line="240" w:lineRule="auto"/>
              <w:jc w:val="both"/>
              <w:rPr>
                <w:rFonts w:ascii="Calibri" w:eastAsia="Times New Roman" w:hAnsi="Calibri" w:cs="Times New Roman"/>
                <w:i/>
                <w:color w:val="000000"/>
                <w:lang w:eastAsia="fr-FR"/>
              </w:rPr>
            </w:pPr>
            <w:r>
              <w:rPr>
                <w:rFonts w:ascii="Calibri" w:eastAsia="Times New Roman" w:hAnsi="Calibri" w:cs="Times New Roman"/>
                <w:color w:val="000000"/>
                <w:lang w:eastAsia="fr-FR"/>
              </w:rPr>
              <w:t xml:space="preserve">Paiements réalisés sur Internet au travers de l’infrastructure 3D-Secure avec </w:t>
            </w:r>
            <w:r w:rsidRPr="00BC3445">
              <w:rPr>
                <w:rFonts w:ascii="Calibri" w:eastAsia="Times New Roman" w:hAnsi="Calibri" w:cs="Times New Roman"/>
                <w:color w:val="000000"/>
                <w:lang w:eastAsia="fr-FR"/>
              </w:rPr>
              <w:t>une authentification forte du porteur (</w:t>
            </w:r>
            <w:r w:rsidRPr="00BC3445">
              <w:rPr>
                <w:rFonts w:ascii="Calibri" w:eastAsia="Times New Roman" w:hAnsi="Calibri" w:cs="Times New Roman"/>
                <w:i/>
                <w:color w:val="000000"/>
                <w:lang w:eastAsia="fr-FR"/>
              </w:rPr>
              <w:t>customer initiated transaction – CIT)</w:t>
            </w:r>
            <w:r w:rsidR="00BC3445" w:rsidRPr="00BC3445">
              <w:rPr>
                <w:rFonts w:ascii="Calibri" w:eastAsia="Times New Roman" w:hAnsi="Calibri" w:cs="Times New Roman"/>
                <w:i/>
                <w:color w:val="000000"/>
                <w:lang w:eastAsia="fr-FR"/>
              </w:rPr>
              <w:t xml:space="preserve">. </w:t>
            </w:r>
            <w:r w:rsidR="00BC3445" w:rsidRPr="001141B0">
              <w:rPr>
                <w:color w:val="000000"/>
              </w:rPr>
              <w:t>Cela peut inclure certains paiements où l’authentification forte a été déléguée à un tiers de l’émetteur en conformité avec les règles d’externalisation applicables dans le cadre de la DSP2 (ex : portefeuille mobile de type X-Pay proposé sous la responsabilité de l’émetteur, délégation de l’authentification forte auprès du commerçant sous la responsabilité de l’émetteur etc.).</w:t>
            </w:r>
          </w:p>
        </w:tc>
      </w:tr>
      <w:tr w:rsidR="007D1664" w:rsidRPr="005B346D" w14:paraId="7D3A7685"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132C516" w14:textId="69CDA4F9" w:rsidR="007D1664" w:rsidRPr="00B84667" w:rsidRDefault="00B84667" w:rsidP="002E6800">
            <w:pPr>
              <w:spacing w:after="0" w:line="240" w:lineRule="auto"/>
              <w:jc w:val="center"/>
              <w:rPr>
                <w:rFonts w:ascii="Calibri" w:eastAsia="Times New Roman" w:hAnsi="Calibri" w:cs="Times New Roman"/>
                <w:color w:val="0070C0"/>
                <w:highlight w:val="yellow"/>
                <w:lang w:eastAsia="fr-FR"/>
              </w:rPr>
            </w:pPr>
            <w:r w:rsidRPr="00314637">
              <w:rPr>
                <w:rFonts w:ascii="Calibri" w:eastAsia="Times New Roman" w:hAnsi="Calibri" w:cs="Times New Roman"/>
                <w:color w:val="0070C0"/>
                <w:lang w:eastAsia="fr-FR"/>
              </w:rPr>
              <w:t xml:space="preserve">Dont paiements </w:t>
            </w:r>
            <w:r w:rsidR="002E6800" w:rsidRPr="00314637">
              <w:rPr>
                <w:rFonts w:ascii="Calibri" w:eastAsia="Times New Roman" w:hAnsi="Calibri" w:cs="Times New Roman"/>
                <w:color w:val="0070C0"/>
                <w:lang w:eastAsia="fr-FR"/>
              </w:rPr>
              <w:t>hors 3D</w:t>
            </w:r>
            <w:r w:rsidR="008F0EFE">
              <w:rPr>
                <w:rFonts w:ascii="Calibri" w:eastAsia="Times New Roman" w:hAnsi="Calibri" w:cs="Times New Roman"/>
                <w:color w:val="0070C0"/>
                <w:lang w:eastAsia="fr-FR"/>
              </w:rPr>
              <w:t xml:space="preserve"> </w:t>
            </w:r>
            <w:r w:rsidR="002E6800" w:rsidRPr="00314637">
              <w:rPr>
                <w:rFonts w:ascii="Calibri" w:eastAsia="Times New Roman" w:hAnsi="Calibri" w:cs="Times New Roman"/>
                <w:color w:val="0070C0"/>
                <w:lang w:eastAsia="fr-FR"/>
              </w:rPr>
              <w:t>S</w:t>
            </w:r>
            <w:r w:rsidR="008F0EFE">
              <w:rPr>
                <w:rFonts w:ascii="Calibri" w:eastAsia="Times New Roman" w:hAnsi="Calibri" w:cs="Times New Roman"/>
                <w:color w:val="0070C0"/>
                <w:lang w:eastAsia="fr-FR"/>
              </w:rPr>
              <w:t>ecure</w:t>
            </w:r>
            <w:r w:rsidR="002E6800" w:rsidRPr="00314637">
              <w:rPr>
                <w:rFonts w:ascii="Calibri" w:eastAsia="Times New Roman" w:hAnsi="Calibri" w:cs="Times New Roman"/>
                <w:color w:val="0070C0"/>
                <w:lang w:eastAsia="fr-FR"/>
              </w:rPr>
              <w:t xml:space="preserve"> </w:t>
            </w:r>
            <w:r w:rsidRPr="00314637">
              <w:rPr>
                <w:rFonts w:ascii="Calibri" w:eastAsia="Times New Roman" w:hAnsi="Calibri" w:cs="Times New Roman"/>
                <w:color w:val="0070C0"/>
                <w:lang w:eastAsia="fr-FR"/>
              </w:rPr>
              <w:t>avec authentification forte</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53BFB974" w14:textId="3EE71649" w:rsidR="007D1664" w:rsidRPr="001141B0" w:rsidRDefault="00314637" w:rsidP="002E6800">
            <w:pPr>
              <w:spacing w:after="0" w:line="240" w:lineRule="auto"/>
              <w:jc w:val="both"/>
              <w:rPr>
                <w:rFonts w:ascii="Calibri" w:eastAsia="Times New Roman" w:hAnsi="Calibri" w:cs="Times New Roman"/>
                <w:color w:val="000000"/>
                <w:highlight w:val="yellow"/>
                <w:lang w:eastAsia="fr-FR"/>
              </w:rPr>
            </w:pPr>
            <w:r w:rsidRPr="001141B0">
              <w:rPr>
                <w:rFonts w:ascii="Calibri" w:eastAsia="Times New Roman" w:hAnsi="Calibri" w:cs="Times New Roman"/>
                <w:color w:val="000000"/>
                <w:lang w:eastAsia="fr-FR"/>
              </w:rPr>
              <w:t>Paiements internet</w:t>
            </w:r>
            <w:r w:rsidR="00BC3445">
              <w:rPr>
                <w:rFonts w:ascii="Calibri" w:eastAsia="Times New Roman" w:hAnsi="Calibri" w:cs="Times New Roman"/>
                <w:color w:val="000000"/>
                <w:lang w:eastAsia="fr-FR"/>
              </w:rPr>
              <w:t xml:space="preserve">, </w:t>
            </w:r>
            <w:r w:rsidR="00BC3445" w:rsidRPr="001141B0">
              <w:rPr>
                <w:color w:val="000000"/>
                <w:u w:val="single"/>
              </w:rPr>
              <w:t>sans passer par les infrastructures 3D-Secure,</w:t>
            </w:r>
            <w:r w:rsidRPr="001141B0">
              <w:rPr>
                <w:rFonts w:ascii="Calibri" w:eastAsia="Times New Roman" w:hAnsi="Calibri" w:cs="Times New Roman"/>
                <w:color w:val="000000"/>
                <w:lang w:eastAsia="fr-FR"/>
              </w:rPr>
              <w:t xml:space="preserve"> où l’authentification forte a été déléguée à un tiers en conformité avec les règles d’externalisation applicables dans le cadre de la DSP2 (ex : portefeuille mobile de type X-Pay proposé sous la responsabilité de l’émetteur, délégation de l’authentification forte auprès du commerçant sous la responsabilité de l’émetteur etc.).</w:t>
            </w:r>
          </w:p>
        </w:tc>
      </w:tr>
      <w:tr w:rsidR="007D1664" w:rsidRPr="005B346D" w14:paraId="57DACBAF"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C50DC74" w14:textId="42E8077A" w:rsidR="007D1664" w:rsidRPr="007D1664" w:rsidRDefault="007D1664" w:rsidP="007E4607">
            <w:pPr>
              <w:spacing w:after="0" w:line="240" w:lineRule="auto"/>
              <w:jc w:val="center"/>
              <w:rPr>
                <w:rFonts w:ascii="Calibri" w:eastAsia="Times New Roman" w:hAnsi="Calibri" w:cs="Times New Roman"/>
                <w:color w:val="0070C0"/>
                <w:lang w:eastAsia="fr-FR"/>
              </w:rPr>
            </w:pPr>
            <w:r w:rsidRPr="007D1664">
              <w:rPr>
                <w:rFonts w:ascii="Calibri" w:eastAsia="Times New Roman" w:hAnsi="Calibri" w:cs="Times New Roman"/>
                <w:color w:val="0070C0"/>
                <w:lang w:eastAsia="fr-FR"/>
              </w:rPr>
              <w:t>Dont paiements 3D Secure sans authentification forte</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752642BA" w14:textId="42DE7BB7" w:rsidR="007D1664" w:rsidRDefault="007D1664" w:rsidP="000C1B41">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Paiements réalisés sur Internet au travers de l’infrastructure </w:t>
            </w:r>
            <w:r w:rsidRPr="00532246">
              <w:rPr>
                <w:rFonts w:ascii="Calibri" w:eastAsia="Times New Roman" w:hAnsi="Calibri" w:cs="Times New Roman"/>
                <w:color w:val="000000"/>
                <w:lang w:eastAsia="fr-FR"/>
              </w:rPr>
              <w:t>3D-Secure</w:t>
            </w:r>
            <w:r>
              <w:rPr>
                <w:rFonts w:ascii="Calibri" w:eastAsia="Times New Roman" w:hAnsi="Calibri" w:cs="Times New Roman"/>
                <w:color w:val="000000"/>
                <w:lang w:eastAsia="fr-FR"/>
              </w:rPr>
              <w:t xml:space="preserve"> sans authentification forte du porteur c’est-à-dire en appliquant une exemption prévue par les RTS</w:t>
            </w:r>
            <w:r w:rsidR="004C5924">
              <w:rPr>
                <w:rFonts w:ascii="Calibri" w:eastAsia="Times New Roman" w:hAnsi="Calibri" w:cs="Times New Roman"/>
                <w:color w:val="000000"/>
                <w:lang w:eastAsia="fr-FR"/>
              </w:rPr>
              <w:t xml:space="preserve"> </w:t>
            </w:r>
            <w:r w:rsidR="00E86322">
              <w:rPr>
                <w:rFonts w:ascii="Calibri" w:eastAsia="Times New Roman" w:hAnsi="Calibri" w:cs="Times New Roman"/>
                <w:color w:val="000000"/>
                <w:lang w:eastAsia="fr-FR"/>
              </w:rPr>
              <w:t>(transactions</w:t>
            </w:r>
            <w:r w:rsidR="00B03853">
              <w:rPr>
                <w:rFonts w:ascii="Calibri" w:eastAsia="Times New Roman" w:hAnsi="Calibri" w:cs="Times New Roman"/>
                <w:color w:val="000000"/>
                <w:lang w:eastAsia="fr-FR"/>
              </w:rPr>
              <w:t xml:space="preserve"> dites</w:t>
            </w:r>
            <w:r w:rsidR="00E86322">
              <w:rPr>
                <w:rFonts w:ascii="Calibri" w:eastAsia="Times New Roman" w:hAnsi="Calibri" w:cs="Times New Roman"/>
                <w:color w:val="000000"/>
                <w:lang w:eastAsia="fr-FR"/>
              </w:rPr>
              <w:t xml:space="preserve"> « </w:t>
            </w:r>
            <w:r w:rsidR="00E86322">
              <w:rPr>
                <w:rFonts w:ascii="Calibri" w:eastAsia="Times New Roman" w:hAnsi="Calibri" w:cs="Times New Roman"/>
                <w:i/>
                <w:color w:val="000000"/>
                <w:lang w:eastAsia="fr-FR"/>
              </w:rPr>
              <w:t>frictionless </w:t>
            </w:r>
            <w:r w:rsidR="00E86322" w:rsidRPr="00DE4372">
              <w:rPr>
                <w:rFonts w:ascii="Calibri" w:eastAsia="Times New Roman" w:hAnsi="Calibri" w:cs="Times New Roman"/>
                <w:color w:val="000000"/>
                <w:lang w:eastAsia="fr-FR"/>
              </w:rPr>
              <w:t>»)</w:t>
            </w:r>
            <w:r w:rsidR="00B03853">
              <w:rPr>
                <w:rFonts w:ascii="Calibri" w:eastAsia="Times New Roman" w:hAnsi="Calibri" w:cs="Times New Roman"/>
                <w:i/>
                <w:color w:val="000000"/>
                <w:lang w:eastAsia="fr-FR"/>
              </w:rPr>
              <w:t xml:space="preserve"> </w:t>
            </w:r>
            <w:r w:rsidR="004C5924">
              <w:rPr>
                <w:rFonts w:ascii="Calibri" w:eastAsia="Times New Roman" w:hAnsi="Calibri" w:cs="Times New Roman"/>
                <w:color w:val="000000"/>
                <w:lang w:eastAsia="fr-FR"/>
              </w:rPr>
              <w:t xml:space="preserve">ou en cas d’incident </w:t>
            </w:r>
            <w:r w:rsidR="00B03853">
              <w:rPr>
                <w:rFonts w:ascii="Calibri" w:eastAsia="Times New Roman" w:hAnsi="Calibri" w:cs="Times New Roman"/>
                <w:color w:val="000000"/>
                <w:lang w:eastAsia="fr-FR"/>
              </w:rPr>
              <w:t xml:space="preserve">technique </w:t>
            </w:r>
            <w:r w:rsidR="004C5924">
              <w:rPr>
                <w:rFonts w:ascii="Calibri" w:eastAsia="Times New Roman" w:hAnsi="Calibri" w:cs="Times New Roman"/>
                <w:color w:val="000000"/>
                <w:lang w:eastAsia="fr-FR"/>
              </w:rPr>
              <w:t>ne permettant pas de la mettre en œuvre</w:t>
            </w:r>
            <w:r>
              <w:rPr>
                <w:rFonts w:ascii="Calibri" w:eastAsia="Times New Roman" w:hAnsi="Calibri" w:cs="Times New Roman"/>
                <w:color w:val="000000"/>
                <w:lang w:eastAsia="fr-FR"/>
              </w:rPr>
              <w:t>.</w:t>
            </w:r>
            <w:r w:rsidR="000C1B41">
              <w:rPr>
                <w:rFonts w:ascii="Calibri" w:eastAsia="Times New Roman" w:hAnsi="Calibri" w:cs="Times New Roman"/>
                <w:color w:val="000000"/>
                <w:lang w:eastAsia="fr-FR"/>
              </w:rPr>
              <w:t xml:space="preserve"> </w:t>
            </w:r>
            <w:r w:rsidR="000C1B41" w:rsidRPr="00B87799">
              <w:rPr>
                <w:rFonts w:ascii="Calibri" w:eastAsia="Times New Roman" w:hAnsi="Calibri" w:cs="Times New Roman"/>
                <w:color w:val="000000"/>
                <w:lang w:eastAsia="fr-FR"/>
              </w:rPr>
              <w:t xml:space="preserve">Les </w:t>
            </w:r>
            <w:r w:rsidR="000C1B41" w:rsidRPr="00B87799">
              <w:rPr>
                <w:rFonts w:ascii="Calibri" w:eastAsia="Times New Roman" w:hAnsi="Calibri" w:cs="Times New Roman"/>
                <w:color w:val="000000"/>
                <w:lang w:eastAsia="fr-FR"/>
              </w:rPr>
              <w:lastRenderedPageBreak/>
              <w:t xml:space="preserve">authentifications mono-facteur (ex : SMS-OTP seul) sont également à reprendre dans cette ligne.  </w:t>
            </w:r>
          </w:p>
        </w:tc>
      </w:tr>
      <w:tr w:rsidR="007D1664" w:rsidRPr="005B346D" w14:paraId="761CEF6F"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CD11549" w14:textId="01C25ED5" w:rsidR="007D1664" w:rsidRPr="007D1664" w:rsidRDefault="007D1664" w:rsidP="00E86322">
            <w:pPr>
              <w:spacing w:after="0" w:line="240" w:lineRule="auto"/>
              <w:jc w:val="center"/>
              <w:rPr>
                <w:rFonts w:ascii="Calibri" w:eastAsia="Times New Roman" w:hAnsi="Calibri" w:cs="Times New Roman"/>
                <w:color w:val="0070C0"/>
                <w:lang w:eastAsia="fr-FR"/>
              </w:rPr>
            </w:pPr>
            <w:r w:rsidRPr="007D1664">
              <w:rPr>
                <w:rFonts w:ascii="Calibri" w:eastAsia="Times New Roman" w:hAnsi="Calibri" w:cs="Times New Roman"/>
                <w:color w:val="0070C0"/>
                <w:lang w:eastAsia="fr-FR"/>
              </w:rPr>
              <w:lastRenderedPageBreak/>
              <w:t xml:space="preserve">Dont paiements non </w:t>
            </w:r>
            <w:r w:rsidR="005A459A">
              <w:rPr>
                <w:rFonts w:ascii="Calibri" w:eastAsia="Times New Roman" w:hAnsi="Calibri" w:cs="Times New Roman"/>
                <w:color w:val="0070C0"/>
                <w:lang w:eastAsia="fr-FR"/>
              </w:rPr>
              <w:t>authentifiés</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2C2A8429" w14:textId="1BF3D8B3" w:rsidR="007D1664" w:rsidRDefault="00B03853">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Tous les paiements sur Internet </w:t>
            </w:r>
            <w:r w:rsidRPr="00BC3445">
              <w:rPr>
                <w:rFonts w:ascii="Calibri" w:eastAsia="Times New Roman" w:hAnsi="Calibri" w:cs="Times New Roman"/>
                <w:color w:val="000000"/>
                <w:lang w:eastAsia="fr-FR"/>
              </w:rPr>
              <w:t xml:space="preserve">réalisés </w:t>
            </w:r>
            <w:r w:rsidR="00BC3445" w:rsidRPr="003D5BEB">
              <w:rPr>
                <w:color w:val="000000"/>
              </w:rPr>
              <w:t>n’ayant été soumis ni aux infrastructures 3-D Secure ni à une authentification forte.</w:t>
            </w:r>
          </w:p>
        </w:tc>
      </w:tr>
      <w:tr w:rsidR="005A459A" w:rsidRPr="005B346D" w14:paraId="06ECD0C0"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04A03E9D" w14:textId="117EF595" w:rsidR="005A459A" w:rsidRPr="007D1664" w:rsidRDefault="005A459A" w:rsidP="005A459A">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paiements initiés par le commerçant (MIT)</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128EAF6E" w14:textId="3F2CEDA8" w:rsidR="005A459A" w:rsidRDefault="00CE318D" w:rsidP="00F20BEE">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Paiements initiés par le commerçant sans présence active du porteur de la carte sur la base d’un accord préexistant (« mandat MIT ») comme par exemple, un abonnement, un paiement en plusieurs fois, un service payé en fonction de la consommation.</w:t>
            </w:r>
            <w:r w:rsidR="00DE09B7">
              <w:rPr>
                <w:rFonts w:ascii="Calibri" w:eastAsia="Times New Roman" w:hAnsi="Calibri" w:cs="Times New Roman"/>
                <w:color w:val="000000"/>
                <w:lang w:eastAsia="fr-FR"/>
              </w:rPr>
              <w:t xml:space="preserve"> </w:t>
            </w:r>
            <w:r w:rsidR="00DE09B7" w:rsidRPr="00B87799">
              <w:rPr>
                <w:rFonts w:ascii="Calibri" w:eastAsia="Times New Roman" w:hAnsi="Calibri" w:cs="Times New Roman"/>
                <w:color w:val="000000"/>
                <w:lang w:eastAsia="fr-FR"/>
              </w:rPr>
              <w:t xml:space="preserve">Dans le cas d’un paiement à la fois « MIT » et </w:t>
            </w:r>
            <w:r w:rsidR="00DE09B7" w:rsidRPr="00DE4372">
              <w:rPr>
                <w:rFonts w:ascii="Calibri" w:eastAsia="Times New Roman" w:hAnsi="Calibri" w:cs="Times New Roman"/>
                <w:color w:val="000000"/>
                <w:lang w:eastAsia="fr-FR"/>
              </w:rPr>
              <w:t>« </w:t>
            </w:r>
            <w:r w:rsidR="00B76721" w:rsidRPr="001141B0">
              <w:rPr>
                <w:rFonts w:ascii="Calibri" w:eastAsia="Times New Roman" w:hAnsi="Calibri" w:cs="Times New Roman"/>
                <w:i/>
                <w:color w:val="000000"/>
                <w:lang w:eastAsia="fr-FR"/>
              </w:rPr>
              <w:t>o</w:t>
            </w:r>
            <w:r w:rsidR="00DE09B7" w:rsidRPr="001141B0">
              <w:rPr>
                <w:rFonts w:ascii="Calibri" w:eastAsia="Times New Roman" w:hAnsi="Calibri" w:cs="Times New Roman"/>
                <w:i/>
                <w:color w:val="000000"/>
                <w:lang w:eastAsia="fr-FR"/>
              </w:rPr>
              <w:t>ne leg</w:t>
            </w:r>
            <w:r w:rsidR="00DE09B7" w:rsidRPr="00DE4372">
              <w:rPr>
                <w:rFonts w:ascii="Calibri" w:eastAsia="Times New Roman" w:hAnsi="Calibri" w:cs="Times New Roman"/>
                <w:color w:val="000000"/>
                <w:lang w:eastAsia="fr-FR"/>
              </w:rPr>
              <w:t> », le paiement doit être considéré comme « MIT ».</w:t>
            </w:r>
          </w:p>
        </w:tc>
      </w:tr>
      <w:tr w:rsidR="005A459A" w:rsidRPr="005B346D" w14:paraId="7245369B"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409E612" w14:textId="1CF9C023" w:rsidR="005A459A" w:rsidRPr="007D1664" w:rsidRDefault="005A459A" w:rsidP="005A459A">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paiements « </w:t>
            </w:r>
            <w:r w:rsidR="00B76721">
              <w:rPr>
                <w:rFonts w:ascii="Calibri" w:eastAsia="Times New Roman" w:hAnsi="Calibri" w:cs="Times New Roman"/>
                <w:i/>
                <w:color w:val="0070C0"/>
                <w:lang w:eastAsia="fr-FR"/>
              </w:rPr>
              <w:t>o</w:t>
            </w:r>
            <w:r w:rsidRPr="00DE4372">
              <w:rPr>
                <w:rFonts w:ascii="Calibri" w:eastAsia="Times New Roman" w:hAnsi="Calibri" w:cs="Times New Roman"/>
                <w:i/>
                <w:color w:val="0070C0"/>
                <w:lang w:eastAsia="fr-FR"/>
              </w:rPr>
              <w:t>ne leg</w:t>
            </w:r>
            <w:r>
              <w:rPr>
                <w:rFonts w:ascii="Calibri" w:eastAsia="Times New Roman" w:hAnsi="Calibri" w:cs="Times New Roman"/>
                <w:color w:val="0070C0"/>
                <w:lang w:eastAsia="fr-FR"/>
              </w:rPr>
              <w:t> »</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2ACC14C3" w14:textId="2D4EE1E1" w:rsidR="00773C70" w:rsidRDefault="00773C70" w:rsidP="00E86322">
            <w:pPr>
              <w:spacing w:after="0" w:line="240" w:lineRule="auto"/>
              <w:jc w:val="both"/>
              <w:rPr>
                <w:rFonts w:ascii="Calibri" w:eastAsia="Times New Roman" w:hAnsi="Calibri" w:cs="Times New Roman"/>
                <w:color w:val="000000"/>
                <w:lang w:eastAsia="fr-FR"/>
              </w:rPr>
            </w:pPr>
            <w:r w:rsidRPr="00A77830">
              <w:rPr>
                <w:rFonts w:ascii="Calibri" w:eastAsia="Times New Roman" w:hAnsi="Calibri" w:cs="Times New Roman"/>
                <w:color w:val="000000"/>
                <w:lang w:eastAsia="fr-FR"/>
              </w:rPr>
              <w:t>Paiements hors 3D-Secure pour lesquels l’émetteur de la carte ou l’accepteur du paiement n’est pas localisé dans l’Espace économique européen</w:t>
            </w:r>
            <w:r w:rsidR="0047595B">
              <w:rPr>
                <w:rFonts w:ascii="Calibri" w:eastAsia="Times New Roman" w:hAnsi="Calibri" w:cs="Times New Roman"/>
                <w:color w:val="000000"/>
                <w:lang w:eastAsia="fr-FR"/>
              </w:rPr>
              <w:t>.</w:t>
            </w:r>
          </w:p>
        </w:tc>
      </w:tr>
      <w:tr w:rsidR="005A459A" w:rsidRPr="005B346D" w14:paraId="1AAF782B"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2BA215B" w14:textId="11094133" w:rsidR="005A459A" w:rsidRPr="007D1664" w:rsidRDefault="005A459A" w:rsidP="005A459A">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paiements non 3DS conformes à la DSP2</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099E5855" w14:textId="4297FBCE" w:rsidR="005A459A" w:rsidRDefault="00E81EE4" w:rsidP="00F20BEE">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Paiements présentant un facteur d’exemption (ex </w:t>
            </w:r>
            <w:r w:rsidRPr="00DE4372">
              <w:rPr>
                <w:rFonts w:ascii="Calibri" w:eastAsia="Times New Roman" w:hAnsi="Calibri" w:cs="Times New Roman"/>
                <w:i/>
                <w:color w:val="000000"/>
                <w:lang w:eastAsia="fr-FR"/>
              </w:rPr>
              <w:t>: Direct to Authorization</w:t>
            </w:r>
            <w:r>
              <w:rPr>
                <w:rFonts w:ascii="Calibri" w:eastAsia="Times New Roman" w:hAnsi="Calibri" w:cs="Times New Roman"/>
                <w:color w:val="000000"/>
                <w:lang w:eastAsia="fr-FR"/>
              </w:rPr>
              <w:t xml:space="preserve"> – DTA avec présence d’un facteur d’exemption</w:t>
            </w:r>
            <w:r w:rsidR="00B03853">
              <w:rPr>
                <w:rFonts w:ascii="Calibri" w:eastAsia="Times New Roman" w:hAnsi="Calibri" w:cs="Times New Roman"/>
                <w:color w:val="000000"/>
                <w:lang w:eastAsia="fr-FR"/>
              </w:rPr>
              <w:t xml:space="preserve"> dans le flux d’autorisation</w:t>
            </w:r>
            <w:r>
              <w:rPr>
                <w:rFonts w:ascii="Calibri" w:eastAsia="Times New Roman" w:hAnsi="Calibri" w:cs="Times New Roman"/>
                <w:color w:val="000000"/>
                <w:lang w:eastAsia="fr-FR"/>
              </w:rPr>
              <w:t>).</w:t>
            </w:r>
          </w:p>
        </w:tc>
      </w:tr>
      <w:tr w:rsidR="005A459A" w:rsidRPr="005B346D" w14:paraId="64087829"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58A1C171" w14:textId="2B7F0A88" w:rsidR="005A459A" w:rsidRPr="007D1664" w:rsidRDefault="005A459A" w:rsidP="005A459A">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Dont paiements non 3DS non conformes à la DSP2</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5086F241" w14:textId="4A320515" w:rsidR="005A459A" w:rsidRDefault="00E81EE4" w:rsidP="00A4748C">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Paiements entrant dans le périmètre d’application de la DSP2, initiés par le porteur (</w:t>
            </w:r>
            <w:r w:rsidRPr="00DE4372">
              <w:rPr>
                <w:rFonts w:ascii="Calibri" w:eastAsia="Times New Roman" w:hAnsi="Calibri" w:cs="Times New Roman"/>
                <w:i/>
                <w:color w:val="000000"/>
                <w:lang w:eastAsia="fr-FR"/>
              </w:rPr>
              <w:t>customer initiated transaction</w:t>
            </w:r>
            <w:r w:rsidR="00B03853">
              <w:rPr>
                <w:rFonts w:ascii="Calibri" w:eastAsia="Times New Roman" w:hAnsi="Calibri" w:cs="Times New Roman"/>
                <w:color w:val="000000"/>
                <w:lang w:eastAsia="fr-FR"/>
              </w:rPr>
              <w:t xml:space="preserve"> – CIT</w:t>
            </w:r>
            <w:r>
              <w:rPr>
                <w:rFonts w:ascii="Calibri" w:eastAsia="Times New Roman" w:hAnsi="Calibri" w:cs="Times New Roman"/>
                <w:color w:val="000000"/>
                <w:lang w:eastAsia="fr-FR"/>
              </w:rPr>
              <w:t>) qui vont directement en autorisation sans facteur d’exemption</w:t>
            </w:r>
            <w:r w:rsidRPr="00B87799">
              <w:rPr>
                <w:rFonts w:ascii="Calibri" w:eastAsia="Times New Roman" w:hAnsi="Calibri" w:cs="Times New Roman"/>
                <w:color w:val="000000"/>
                <w:lang w:eastAsia="fr-FR"/>
              </w:rPr>
              <w:t>.</w:t>
            </w:r>
            <w:r w:rsidR="00373697" w:rsidRPr="00DE4372">
              <w:rPr>
                <w:rFonts w:ascii="Calibri" w:eastAsia="Times New Roman" w:hAnsi="Calibri" w:cs="Times New Roman"/>
                <w:color w:val="000000"/>
                <w:lang w:eastAsia="fr-FR"/>
              </w:rPr>
              <w:t xml:space="preserve"> </w:t>
            </w:r>
            <w:r w:rsidR="00373697" w:rsidRPr="00B87799">
              <w:rPr>
                <w:rFonts w:ascii="Calibri" w:eastAsia="Times New Roman" w:hAnsi="Calibri" w:cs="Times New Roman"/>
                <w:color w:val="000000"/>
                <w:lang w:eastAsia="fr-FR"/>
              </w:rPr>
              <w:t>Les</w:t>
            </w:r>
            <w:r w:rsidR="00373697">
              <w:rPr>
                <w:rFonts w:ascii="Calibri" w:eastAsia="Times New Roman" w:hAnsi="Calibri" w:cs="Times New Roman"/>
                <w:color w:val="000000"/>
                <w:lang w:eastAsia="fr-FR"/>
              </w:rPr>
              <w:t xml:space="preserve"> paiements qui impliquent un accepteur européen et un acquéreur non-européen (hors EEE) sont également à reprendre </w:t>
            </w:r>
            <w:r w:rsidR="00373697" w:rsidRPr="00A4748C">
              <w:rPr>
                <w:rFonts w:ascii="Calibri" w:eastAsia="Times New Roman" w:hAnsi="Calibri" w:cs="Times New Roman"/>
                <w:color w:val="000000"/>
                <w:lang w:eastAsia="fr-FR"/>
              </w:rPr>
              <w:t>dans cette ligne.</w:t>
            </w:r>
            <w:r w:rsidR="00D40D35" w:rsidRPr="00A4748C">
              <w:rPr>
                <w:rFonts w:ascii="Calibri" w:eastAsia="Times New Roman" w:hAnsi="Calibri" w:cs="Times New Roman"/>
                <w:color w:val="000000"/>
                <w:lang w:eastAsia="fr-FR"/>
              </w:rPr>
              <w:t xml:space="preserve"> </w:t>
            </w:r>
            <w:r w:rsidR="00A4748C" w:rsidRPr="001141B0">
              <w:rPr>
                <w:rFonts w:ascii="Calibri" w:eastAsia="Times New Roman" w:hAnsi="Calibri" w:cs="Times New Roman"/>
                <w:color w:val="000000"/>
                <w:lang w:eastAsia="fr-FR"/>
              </w:rPr>
              <w:t>Dans le cas d’un paiement à la fois  «</w:t>
            </w:r>
            <w:r w:rsidR="00B76721" w:rsidRPr="001141B0">
              <w:rPr>
                <w:rFonts w:ascii="Calibri" w:eastAsia="Times New Roman" w:hAnsi="Calibri" w:cs="Times New Roman"/>
                <w:i/>
                <w:color w:val="000000"/>
                <w:lang w:eastAsia="fr-FR"/>
              </w:rPr>
              <w:t>o</w:t>
            </w:r>
            <w:r w:rsidR="00A4748C" w:rsidRPr="001141B0">
              <w:rPr>
                <w:rFonts w:ascii="Calibri" w:eastAsia="Times New Roman" w:hAnsi="Calibri" w:cs="Times New Roman"/>
                <w:i/>
                <w:color w:val="000000"/>
                <w:lang w:eastAsia="fr-FR"/>
              </w:rPr>
              <w:t>ne leg</w:t>
            </w:r>
            <w:r w:rsidR="00A4748C" w:rsidRPr="001141B0">
              <w:rPr>
                <w:rFonts w:ascii="Calibri" w:eastAsia="Times New Roman" w:hAnsi="Calibri" w:cs="Times New Roman"/>
                <w:color w:val="000000"/>
                <w:lang w:eastAsia="fr-FR"/>
              </w:rPr>
              <w:t xml:space="preserve"> » et «non 3DS non conformes à la DSP2 » , le paiement</w:t>
            </w:r>
            <w:r w:rsidR="00B76721" w:rsidRPr="00B76721">
              <w:rPr>
                <w:rFonts w:ascii="Calibri" w:eastAsia="Times New Roman" w:hAnsi="Calibri" w:cs="Times New Roman"/>
                <w:color w:val="000000"/>
                <w:lang w:eastAsia="fr-FR"/>
              </w:rPr>
              <w:t xml:space="preserve"> doit être considéré comme « </w:t>
            </w:r>
            <w:r w:rsidR="00B76721" w:rsidRPr="001141B0">
              <w:rPr>
                <w:rFonts w:ascii="Calibri" w:eastAsia="Times New Roman" w:hAnsi="Calibri" w:cs="Times New Roman"/>
                <w:i/>
                <w:color w:val="000000"/>
                <w:lang w:eastAsia="fr-FR"/>
              </w:rPr>
              <w:t>o</w:t>
            </w:r>
            <w:r w:rsidR="00A4748C" w:rsidRPr="001141B0">
              <w:rPr>
                <w:rFonts w:ascii="Calibri" w:eastAsia="Times New Roman" w:hAnsi="Calibri" w:cs="Times New Roman"/>
                <w:i/>
                <w:color w:val="000000"/>
                <w:lang w:eastAsia="fr-FR"/>
              </w:rPr>
              <w:t>ne leg</w:t>
            </w:r>
            <w:r w:rsidR="00A4748C" w:rsidRPr="001141B0">
              <w:rPr>
                <w:rFonts w:ascii="Calibri" w:eastAsia="Times New Roman" w:hAnsi="Calibri" w:cs="Times New Roman"/>
                <w:color w:val="000000"/>
                <w:lang w:eastAsia="fr-FR"/>
              </w:rPr>
              <w:t xml:space="preserve"> ».</w:t>
            </w:r>
          </w:p>
        </w:tc>
      </w:tr>
      <w:tr w:rsidR="0078544F" w:rsidRPr="005B346D" w14:paraId="1968CF07" w14:textId="77777777" w:rsidTr="001A38A3">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2CD5766" w14:textId="77777777" w:rsidR="0078544F" w:rsidRPr="001141B0" w:rsidRDefault="0078544F" w:rsidP="007E4607">
            <w:pPr>
              <w:spacing w:after="0" w:line="240" w:lineRule="auto"/>
              <w:jc w:val="center"/>
              <w:rPr>
                <w:rFonts w:ascii="Calibri" w:eastAsia="Times New Roman" w:hAnsi="Calibri" w:cs="Times New Roman"/>
                <w:b/>
                <w:color w:val="0070C0"/>
                <w:lang w:eastAsia="fr-FR"/>
              </w:rPr>
            </w:pPr>
            <w:r w:rsidRPr="001141B0">
              <w:rPr>
                <w:rFonts w:ascii="Calibri" w:eastAsia="Times New Roman" w:hAnsi="Calibri" w:cs="Times New Roman"/>
                <w:b/>
                <w:color w:val="0070C0"/>
                <w:lang w:eastAsia="fr-FR"/>
              </w:rPr>
              <w:t>Retraits</w:t>
            </w:r>
          </w:p>
        </w:tc>
        <w:tc>
          <w:tcPr>
            <w:tcW w:w="6804" w:type="dxa"/>
            <w:tcBorders>
              <w:top w:val="single" w:sz="12" w:space="0" w:color="0070C0"/>
              <w:left w:val="nil"/>
              <w:bottom w:val="single" w:sz="12" w:space="0" w:color="0070C0"/>
              <w:right w:val="single" w:sz="12" w:space="0" w:color="0070C0"/>
            </w:tcBorders>
            <w:shd w:val="clear" w:color="auto" w:fill="auto"/>
            <w:vAlign w:val="center"/>
          </w:tcPr>
          <w:p w14:paraId="5A9ECE9A" w14:textId="77777777" w:rsidR="0078544F" w:rsidRPr="005B346D" w:rsidRDefault="0078544F" w:rsidP="007E4607">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Retraits d’espèces à un distributeur de billets</w:t>
            </w:r>
          </w:p>
        </w:tc>
      </w:tr>
    </w:tbl>
    <w:p w14:paraId="64DAF44A" w14:textId="77777777" w:rsidR="009F6546" w:rsidRDefault="009F6546"/>
    <w:p w14:paraId="7E9AC6F2" w14:textId="77777777" w:rsidR="001752B5" w:rsidRDefault="001752B5">
      <w:pPr>
        <w:rPr>
          <w:rFonts w:cs="Cambria,Bold"/>
          <w:b/>
          <w:bCs/>
          <w:color w:val="548DD4" w:themeColor="text2" w:themeTint="99"/>
        </w:rPr>
      </w:pPr>
      <w:r>
        <w:rPr>
          <w:rFonts w:cs="Cambria,Bold"/>
          <w:b/>
          <w:bCs/>
          <w:color w:val="548DD4" w:themeColor="text2" w:themeTint="99"/>
        </w:rPr>
        <w:br w:type="page"/>
      </w:r>
    </w:p>
    <w:p w14:paraId="3EDAB64A" w14:textId="6522AEDA" w:rsidR="00164C87" w:rsidRDefault="00F439B7" w:rsidP="00164C87">
      <w:pPr>
        <w:pStyle w:val="Paragraphedeliste"/>
        <w:numPr>
          <w:ilvl w:val="0"/>
          <w:numId w:val="12"/>
        </w:numPr>
        <w:ind w:left="284" w:hanging="284"/>
      </w:pPr>
      <w:r>
        <w:rPr>
          <w:rFonts w:cs="Cambria,Bold"/>
          <w:b/>
          <w:bCs/>
          <w:color w:val="548DD4" w:themeColor="text2" w:themeTint="99"/>
        </w:rPr>
        <w:lastRenderedPageBreak/>
        <w:t>Type de</w:t>
      </w:r>
      <w:r w:rsidR="00164C87">
        <w:rPr>
          <w:rFonts w:cs="Cambria,Bold"/>
          <w:b/>
          <w:bCs/>
          <w:color w:val="548DD4" w:themeColor="text2" w:themeTint="99"/>
        </w:rPr>
        <w:t xml:space="preserve"> carte</w:t>
      </w:r>
      <w:r w:rsidR="00164C87" w:rsidRPr="00164C87">
        <w:rPr>
          <w:rFonts w:cs="Cambria,Bold"/>
          <w:b/>
          <w:bCs/>
          <w:color w:val="548DD4" w:themeColor="text2" w:themeTint="99"/>
        </w:rPr>
        <w:t xml:space="preserve"> :</w:t>
      </w:r>
    </w:p>
    <w:tbl>
      <w:tblPr>
        <w:tblW w:w="9229" w:type="dxa"/>
        <w:tblInd w:w="55" w:type="dxa"/>
        <w:tblCellMar>
          <w:left w:w="70" w:type="dxa"/>
          <w:right w:w="70" w:type="dxa"/>
        </w:tblCellMar>
        <w:tblLook w:val="04A0" w:firstRow="1" w:lastRow="0" w:firstColumn="1" w:lastColumn="0" w:noHBand="0" w:noVBand="1"/>
      </w:tblPr>
      <w:tblGrid>
        <w:gridCol w:w="2425"/>
        <w:gridCol w:w="6804"/>
      </w:tblGrid>
      <w:tr w:rsidR="00164C87" w:rsidRPr="005B346D" w14:paraId="5AAA060D" w14:textId="77777777" w:rsidTr="001A38A3">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79014F0" w14:textId="77777777" w:rsidR="00164C87" w:rsidRDefault="00164C87"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Carte de débit</w:t>
            </w:r>
          </w:p>
        </w:tc>
        <w:tc>
          <w:tcPr>
            <w:tcW w:w="6804" w:type="dxa"/>
            <w:tcBorders>
              <w:top w:val="single" w:sz="12" w:space="0" w:color="0070C0"/>
              <w:left w:val="nil"/>
              <w:bottom w:val="single" w:sz="12" w:space="0" w:color="0070C0"/>
              <w:right w:val="single" w:sz="12" w:space="0" w:color="0070C0"/>
            </w:tcBorders>
            <w:shd w:val="clear" w:color="auto" w:fill="auto"/>
            <w:vAlign w:val="center"/>
          </w:tcPr>
          <w:p w14:paraId="1D803626" w14:textId="1D21577F" w:rsidR="00164C87" w:rsidRPr="005B346D" w:rsidRDefault="00164C87" w:rsidP="00EE46E8">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Carte à débit immédiat</w:t>
            </w:r>
          </w:p>
        </w:tc>
      </w:tr>
      <w:tr w:rsidR="00164C87" w:rsidRPr="005B346D" w14:paraId="7C6F2381" w14:textId="77777777" w:rsidTr="001A38A3">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7B70E0B" w14:textId="77777777" w:rsidR="00164C87" w:rsidRDefault="00164C87"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Carte de crédit</w:t>
            </w:r>
          </w:p>
        </w:tc>
        <w:tc>
          <w:tcPr>
            <w:tcW w:w="6804" w:type="dxa"/>
            <w:tcBorders>
              <w:top w:val="single" w:sz="12" w:space="0" w:color="0070C0"/>
              <w:left w:val="nil"/>
              <w:bottom w:val="single" w:sz="12" w:space="0" w:color="0070C0"/>
              <w:right w:val="single" w:sz="12" w:space="0" w:color="0070C0"/>
            </w:tcBorders>
            <w:shd w:val="clear" w:color="auto" w:fill="auto"/>
            <w:vAlign w:val="center"/>
          </w:tcPr>
          <w:p w14:paraId="54A2965C" w14:textId="77777777" w:rsidR="00164C87" w:rsidRPr="005B346D" w:rsidRDefault="00164C87" w:rsidP="007E4607">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Carte de crédit et carte à débit différé</w:t>
            </w:r>
          </w:p>
        </w:tc>
      </w:tr>
    </w:tbl>
    <w:p w14:paraId="3AB56B50" w14:textId="77777777" w:rsidR="0080288C" w:rsidRDefault="0080288C" w:rsidP="00007D92">
      <w:pPr>
        <w:jc w:val="both"/>
        <w:rPr>
          <w:u w:val="single"/>
        </w:rPr>
      </w:pPr>
    </w:p>
    <w:p w14:paraId="530A9711" w14:textId="468A1787" w:rsidR="00007D92" w:rsidRPr="00007D92" w:rsidRDefault="00007D92" w:rsidP="00007D92">
      <w:pPr>
        <w:jc w:val="both"/>
      </w:pPr>
      <w:r w:rsidRPr="00007D92">
        <w:rPr>
          <w:u w:val="single"/>
        </w:rPr>
        <w:t>Remarque</w:t>
      </w:r>
      <w:r w:rsidRPr="00007D92">
        <w:t xml:space="preserve"> : pour les cartes commerciales, </w:t>
      </w:r>
      <w:r>
        <w:t>si l’établissement n’est pas en capacité de connaitre la fonction de carte, par défaut il les ventile dans la rubrique « carte de crédit ».</w:t>
      </w:r>
    </w:p>
    <w:p w14:paraId="20E18A34" w14:textId="77777777" w:rsidR="00760780" w:rsidRDefault="00760780" w:rsidP="004732ED">
      <w:pPr>
        <w:pStyle w:val="Paragraphedeliste"/>
        <w:numPr>
          <w:ilvl w:val="0"/>
          <w:numId w:val="12"/>
        </w:numPr>
        <w:ind w:left="284" w:hanging="284"/>
        <w:jc w:val="both"/>
        <w:rPr>
          <w:rFonts w:cs="Cambria,Bold"/>
          <w:b/>
          <w:bCs/>
          <w:color w:val="548DD4" w:themeColor="text2" w:themeTint="99"/>
        </w:rPr>
      </w:pPr>
      <w:r w:rsidRPr="00C46B10">
        <w:rPr>
          <w:rFonts w:cs="Cambria,Bold"/>
          <w:b/>
          <w:bCs/>
          <w:color w:val="548DD4" w:themeColor="text2" w:themeTint="99"/>
        </w:rPr>
        <w:t xml:space="preserve">Règles spécifiques </w:t>
      </w:r>
      <w:r>
        <w:rPr>
          <w:rFonts w:cs="Cambria,Bold"/>
          <w:b/>
          <w:bCs/>
          <w:color w:val="548DD4" w:themeColor="text2" w:themeTint="99"/>
        </w:rPr>
        <w:t xml:space="preserve">devant être appliquées </w:t>
      </w:r>
      <w:r w:rsidRPr="00C46B10">
        <w:rPr>
          <w:rFonts w:cs="Cambria,Bold"/>
          <w:b/>
          <w:bCs/>
          <w:color w:val="548DD4" w:themeColor="text2" w:themeTint="99"/>
        </w:rPr>
        <w:t xml:space="preserve">pour les établissements émettant des cartes co-badgées (CB-MasterCard ou CB-Visa) </w:t>
      </w:r>
      <w:r w:rsidR="0010111B">
        <w:rPr>
          <w:rFonts w:cs="Cambria,Bold"/>
          <w:b/>
          <w:bCs/>
          <w:color w:val="548DD4" w:themeColor="text2" w:themeTint="99"/>
        </w:rPr>
        <w:t xml:space="preserve">et </w:t>
      </w:r>
      <w:r w:rsidRPr="00C46B10">
        <w:rPr>
          <w:rFonts w:cs="Cambria,Bold"/>
          <w:b/>
          <w:bCs/>
          <w:color w:val="548DD4" w:themeColor="text2" w:themeTint="99"/>
        </w:rPr>
        <w:t xml:space="preserve">destinées à prévenir les doubles comptes ou les omissions : </w:t>
      </w:r>
    </w:p>
    <w:p w14:paraId="077F9FFF" w14:textId="77777777" w:rsidR="00760780" w:rsidRDefault="00760780" w:rsidP="00760780">
      <w:pPr>
        <w:pStyle w:val="Paragraphedeliste"/>
        <w:ind w:left="284"/>
        <w:rPr>
          <w:rFonts w:cs="Cambria,Bold"/>
          <w:b/>
          <w:bCs/>
          <w:color w:val="548DD4" w:themeColor="text2" w:themeTint="99"/>
        </w:rPr>
      </w:pPr>
    </w:p>
    <w:p w14:paraId="4629A878" w14:textId="77777777" w:rsidR="00760780" w:rsidRDefault="00760780" w:rsidP="00760780">
      <w:pPr>
        <w:pStyle w:val="Paragraphedeliste"/>
        <w:numPr>
          <w:ilvl w:val="0"/>
          <w:numId w:val="12"/>
        </w:numPr>
        <w:jc w:val="both"/>
      </w:pPr>
      <w:r>
        <w:rPr>
          <w:b/>
          <w:u w:val="single"/>
        </w:rPr>
        <w:t>P</w:t>
      </w:r>
      <w:r w:rsidRPr="00636F65">
        <w:rPr>
          <w:b/>
          <w:u w:val="single"/>
        </w:rPr>
        <w:t>ar le GIE CB</w:t>
      </w:r>
      <w:r>
        <w:t xml:space="preserve"> : ne déclarer que les transactions </w:t>
      </w:r>
      <w:r w:rsidR="00CA78E5">
        <w:t xml:space="preserve">traitées par </w:t>
      </w:r>
      <w:r>
        <w:t>le système « CB » (indépendamment du fait que la carte utilisée soit une carte « CB only » ou une carte co-badgée</w:t>
      </w:r>
      <w:r w:rsidR="0010111B">
        <w:t>)</w:t>
      </w:r>
      <w:r>
        <w:t> ;</w:t>
      </w:r>
    </w:p>
    <w:p w14:paraId="4730CB3A" w14:textId="77777777" w:rsidR="00760780" w:rsidRDefault="00760780" w:rsidP="00760780">
      <w:pPr>
        <w:pStyle w:val="Paragraphedeliste"/>
      </w:pPr>
    </w:p>
    <w:p w14:paraId="35F13C6C" w14:textId="77777777" w:rsidR="00760780" w:rsidRDefault="00760780" w:rsidP="00760780">
      <w:pPr>
        <w:pStyle w:val="Paragraphedeliste"/>
        <w:numPr>
          <w:ilvl w:val="0"/>
          <w:numId w:val="12"/>
        </w:numPr>
        <w:jc w:val="both"/>
      </w:pPr>
      <w:r>
        <w:rPr>
          <w:b/>
          <w:u w:val="single"/>
        </w:rPr>
        <w:t>P</w:t>
      </w:r>
      <w:r w:rsidRPr="00636F65">
        <w:rPr>
          <w:b/>
          <w:u w:val="single"/>
        </w:rPr>
        <w:t>ar MasterCard et Visa</w:t>
      </w:r>
      <w:r>
        <w:t xml:space="preserve"> : ne déclarer que les transactions </w:t>
      </w:r>
      <w:r w:rsidR="00CA78E5">
        <w:t>traitées</w:t>
      </w:r>
      <w:r w:rsidR="00F128C9">
        <w:rPr>
          <w:rStyle w:val="Appelnotedebasdep"/>
        </w:rPr>
        <w:footnoteReference w:id="1"/>
      </w:r>
      <w:r w:rsidR="00CA78E5">
        <w:t xml:space="preserve"> par </w:t>
      </w:r>
      <w:r>
        <w:t>le système MasterCard ou le système Visa (indépendamment du fait que la carte utilisée soit une carte « MasterCard Only », « Visa only » ou une carte co-badgée</w:t>
      </w:r>
      <w:r w:rsidR="00CA78E5">
        <w:t>.</w:t>
      </w:r>
    </w:p>
    <w:p w14:paraId="6EC97779" w14:textId="77777777" w:rsidR="001752B5" w:rsidRDefault="001752B5">
      <w:pPr>
        <w:rPr>
          <w:rFonts w:cs="Cambria,Bold"/>
          <w:b/>
          <w:bCs/>
          <w:color w:val="548DD4" w:themeColor="text2" w:themeTint="99"/>
          <w:sz w:val="24"/>
          <w:szCs w:val="24"/>
          <w:u w:val="single"/>
        </w:rPr>
      </w:pPr>
      <w:r>
        <w:rPr>
          <w:rFonts w:cs="Cambria,Bold"/>
          <w:b/>
          <w:bCs/>
          <w:color w:val="548DD4" w:themeColor="text2" w:themeTint="99"/>
          <w:sz w:val="24"/>
          <w:szCs w:val="24"/>
          <w:u w:val="single"/>
        </w:rPr>
        <w:br w:type="page"/>
      </w:r>
    </w:p>
    <w:p w14:paraId="77D97309" w14:textId="75731B90" w:rsidR="00B346A8" w:rsidRDefault="007E4607" w:rsidP="0054268E">
      <w:r>
        <w:rPr>
          <w:rFonts w:cs="Cambria,Bold"/>
          <w:b/>
          <w:bCs/>
          <w:color w:val="548DD4" w:themeColor="text2" w:themeTint="99"/>
          <w:sz w:val="24"/>
          <w:szCs w:val="24"/>
          <w:u w:val="single"/>
        </w:rPr>
        <w:lastRenderedPageBreak/>
        <w:t xml:space="preserve">Sections </w:t>
      </w:r>
      <w:r w:rsidR="00550B8F">
        <w:rPr>
          <w:rFonts w:cs="Cambria,Bold"/>
          <w:b/>
          <w:bCs/>
          <w:color w:val="548DD4" w:themeColor="text2" w:themeTint="99"/>
          <w:sz w:val="24"/>
          <w:szCs w:val="24"/>
          <w:u w:val="single"/>
        </w:rPr>
        <w:t>2.a.1 à 2.e</w:t>
      </w:r>
      <w:r w:rsidR="007961DA" w:rsidRPr="0077158F">
        <w:rPr>
          <w:rFonts w:cs="Cambria,Bold"/>
          <w:b/>
          <w:bCs/>
          <w:color w:val="548DD4" w:themeColor="text2" w:themeTint="99"/>
          <w:sz w:val="24"/>
          <w:szCs w:val="24"/>
          <w:u w:val="single"/>
        </w:rPr>
        <w:t>.1</w:t>
      </w:r>
      <w:r>
        <w:rPr>
          <w:rFonts w:cs="Cambria,Bold"/>
          <w:b/>
          <w:bCs/>
          <w:color w:val="548DD4" w:themeColor="text2" w:themeTint="99"/>
          <w:sz w:val="24"/>
          <w:szCs w:val="24"/>
          <w:u w:val="single"/>
        </w:rPr>
        <w:t xml:space="preserve"> - </w:t>
      </w:r>
      <w:r w:rsidRPr="0077158F">
        <w:rPr>
          <w:rFonts w:cs="Cambria,Bold"/>
          <w:b/>
          <w:bCs/>
          <w:color w:val="548DD4" w:themeColor="text2" w:themeTint="99"/>
          <w:sz w:val="24"/>
          <w:szCs w:val="24"/>
          <w:u w:val="single"/>
        </w:rPr>
        <w:t>Répartition de la fraude</w:t>
      </w:r>
    </w:p>
    <w:p w14:paraId="338D936E" w14:textId="5C856798" w:rsidR="00B346A8" w:rsidRDefault="00550B8F" w:rsidP="0054268E">
      <w:r w:rsidRPr="00550B8F">
        <w:rPr>
          <w:noProof/>
          <w:lang w:eastAsia="fr-FR"/>
        </w:rPr>
        <w:drawing>
          <wp:inline distT="0" distB="0" distL="0" distR="0" wp14:anchorId="04E41EDE" wp14:editId="506F59A3">
            <wp:extent cx="5851525" cy="7999095"/>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51525" cy="7999095"/>
                    </a:xfrm>
                    <a:prstGeom prst="rect">
                      <a:avLst/>
                    </a:prstGeom>
                  </pic:spPr>
                </pic:pic>
              </a:graphicData>
            </a:graphic>
          </wp:inline>
        </w:drawing>
      </w:r>
    </w:p>
    <w:p w14:paraId="213540C2" w14:textId="77777777" w:rsidR="001752B5" w:rsidRDefault="001752B5">
      <w:pPr>
        <w:rPr>
          <w:rFonts w:cs="Cambria,Bold"/>
          <w:b/>
          <w:bCs/>
          <w:color w:val="548DD4" w:themeColor="text2" w:themeTint="99"/>
        </w:rPr>
      </w:pPr>
      <w:r>
        <w:rPr>
          <w:rFonts w:cs="Cambria,Bold"/>
          <w:b/>
          <w:bCs/>
          <w:color w:val="548DD4" w:themeColor="text2" w:themeTint="99"/>
        </w:rPr>
        <w:br w:type="page"/>
      </w:r>
    </w:p>
    <w:p w14:paraId="00F0CACD" w14:textId="358A99A6" w:rsidR="00B53123" w:rsidRDefault="00B53123" w:rsidP="00B53123">
      <w:pPr>
        <w:pStyle w:val="Paragraphedeliste"/>
        <w:numPr>
          <w:ilvl w:val="0"/>
          <w:numId w:val="12"/>
        </w:numPr>
        <w:ind w:left="284" w:hanging="284"/>
      </w:pPr>
      <w:r>
        <w:rPr>
          <w:rFonts w:cs="Cambria,Bold"/>
          <w:b/>
          <w:bCs/>
          <w:color w:val="548DD4" w:themeColor="text2" w:themeTint="99"/>
        </w:rPr>
        <w:lastRenderedPageBreak/>
        <w:t xml:space="preserve">Origine de la fraude </w:t>
      </w:r>
      <w:r w:rsidRPr="00164C87">
        <w:rPr>
          <w:rFonts w:cs="Cambria,Bold"/>
          <w:b/>
          <w:bCs/>
          <w:color w:val="548DD4" w:themeColor="text2" w:themeTint="99"/>
        </w:rPr>
        <w:t>:</w:t>
      </w:r>
    </w:p>
    <w:tbl>
      <w:tblPr>
        <w:tblW w:w="9087" w:type="dxa"/>
        <w:tblInd w:w="55" w:type="dxa"/>
        <w:tblCellMar>
          <w:left w:w="70" w:type="dxa"/>
          <w:right w:w="70" w:type="dxa"/>
        </w:tblCellMar>
        <w:tblLook w:val="04A0" w:firstRow="1" w:lastRow="0" w:firstColumn="1" w:lastColumn="0" w:noHBand="0" w:noVBand="1"/>
      </w:tblPr>
      <w:tblGrid>
        <w:gridCol w:w="2425"/>
        <w:gridCol w:w="6662"/>
      </w:tblGrid>
      <w:tr w:rsidR="00B670C2" w:rsidRPr="005B346D" w14:paraId="35A5BDB5" w14:textId="77777777" w:rsidTr="00C90372">
        <w:trPr>
          <w:cantSplit/>
          <w:trHeight w:val="750"/>
        </w:trPr>
        <w:tc>
          <w:tcPr>
            <w:tcW w:w="2425" w:type="dxa"/>
            <w:tcBorders>
              <w:top w:val="single" w:sz="12" w:space="0" w:color="0070C0"/>
              <w:left w:val="single" w:sz="12" w:space="0" w:color="0070C0"/>
              <w:bottom w:val="single" w:sz="4" w:space="0" w:color="0070C0"/>
              <w:right w:val="single" w:sz="12" w:space="0" w:color="0070C0"/>
            </w:tcBorders>
            <w:shd w:val="clear" w:color="auto" w:fill="auto"/>
            <w:vAlign w:val="center"/>
            <w:hideMark/>
          </w:tcPr>
          <w:p w14:paraId="30A0BA65" w14:textId="77777777" w:rsidR="00B670C2" w:rsidRPr="005B346D" w:rsidRDefault="00B670C2"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Carte perdue ou volée</w:t>
            </w:r>
          </w:p>
        </w:tc>
        <w:tc>
          <w:tcPr>
            <w:tcW w:w="6662" w:type="dxa"/>
            <w:tcBorders>
              <w:top w:val="single" w:sz="12" w:space="0" w:color="0070C0"/>
              <w:left w:val="nil"/>
              <w:bottom w:val="single" w:sz="4" w:space="0" w:color="0070C0"/>
              <w:right w:val="single" w:sz="12" w:space="0" w:color="0070C0"/>
            </w:tcBorders>
            <w:shd w:val="clear" w:color="auto" w:fill="auto"/>
            <w:vAlign w:val="center"/>
          </w:tcPr>
          <w:p w14:paraId="211B76B5" w14:textId="77777777" w:rsidR="00B670C2" w:rsidRPr="005B346D" w:rsidRDefault="005A36C1" w:rsidP="00532246">
            <w:pPr>
              <w:spacing w:after="0" w:line="240" w:lineRule="auto"/>
              <w:jc w:val="both"/>
              <w:rPr>
                <w:rFonts w:ascii="Calibri" w:eastAsia="Times New Roman" w:hAnsi="Calibri" w:cs="Times New Roman"/>
                <w:color w:val="000000"/>
                <w:lang w:eastAsia="fr-FR"/>
              </w:rPr>
            </w:pPr>
            <w:r>
              <w:t>L</w:t>
            </w:r>
            <w:r w:rsidRPr="00BC5876">
              <w:t xml:space="preserve">e fraudeur utilise une carte de paiement </w:t>
            </w:r>
            <w:r>
              <w:t xml:space="preserve">à la </w:t>
            </w:r>
            <w:r w:rsidRPr="00BC5876">
              <w:t xml:space="preserve">suite </w:t>
            </w:r>
            <w:r>
              <w:t>d’</w:t>
            </w:r>
            <w:r w:rsidRPr="00BC5876">
              <w:t xml:space="preserve">une perte ou </w:t>
            </w:r>
            <w:r>
              <w:t>d’</w:t>
            </w:r>
            <w:r w:rsidRPr="00BC5876">
              <w:t>un vol</w:t>
            </w:r>
            <w:r>
              <w:t>, à l’insu du titulaire légitime</w:t>
            </w:r>
          </w:p>
        </w:tc>
      </w:tr>
      <w:tr w:rsidR="00B670C2" w:rsidRPr="005B346D" w14:paraId="11A46374"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326B9093" w14:textId="77777777" w:rsidR="00B670C2" w:rsidRDefault="00B670C2"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Carte non parvenue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63962207" w14:textId="77777777" w:rsidR="00B670C2" w:rsidRPr="005B346D" w:rsidRDefault="005A36C1" w:rsidP="007E4607">
            <w:pPr>
              <w:spacing w:after="0" w:line="240" w:lineRule="auto"/>
              <w:jc w:val="both"/>
              <w:rPr>
                <w:rFonts w:ascii="Calibri" w:eastAsia="Times New Roman" w:hAnsi="Calibri" w:cs="Times New Roman"/>
                <w:color w:val="000000"/>
                <w:lang w:eastAsia="fr-FR"/>
              </w:rPr>
            </w:pPr>
            <w:r>
              <w:rPr>
                <w:rFonts w:cstheme="minorHAnsi"/>
                <w:color w:val="000000"/>
              </w:rPr>
              <w:t>L</w:t>
            </w:r>
            <w:r w:rsidRPr="00BC5876">
              <w:rPr>
                <w:rFonts w:cstheme="minorHAnsi"/>
                <w:color w:val="000000"/>
              </w:rPr>
              <w:t xml:space="preserve">a carte a été interceptée lors de son envoi </w:t>
            </w:r>
            <w:r>
              <w:rPr>
                <w:rFonts w:cstheme="minorHAnsi"/>
                <w:color w:val="000000"/>
              </w:rPr>
              <w:t xml:space="preserve">par l’émetteur </w:t>
            </w:r>
            <w:r w:rsidRPr="00BC5876">
              <w:rPr>
                <w:rFonts w:cstheme="minorHAnsi"/>
                <w:color w:val="000000"/>
              </w:rPr>
              <w:t xml:space="preserve">à son titulaire légitime. Ce type </w:t>
            </w:r>
            <w:r>
              <w:rPr>
                <w:rFonts w:cstheme="minorHAnsi"/>
                <w:color w:val="000000"/>
              </w:rPr>
              <w:t>de fraude</w:t>
            </w:r>
            <w:r w:rsidRPr="00BC5876">
              <w:rPr>
                <w:rFonts w:cstheme="minorHAnsi"/>
                <w:color w:val="000000"/>
              </w:rPr>
              <w:t xml:space="preserve"> se rapproche de la perte ou du vol. Cependant, il s’en distingue, dans la mesure où le porteur peut </w:t>
            </w:r>
            <w:r>
              <w:rPr>
                <w:rFonts w:cstheme="minorHAnsi"/>
                <w:color w:val="000000"/>
              </w:rPr>
              <w:t xml:space="preserve">difficilement </w:t>
            </w:r>
            <w:r w:rsidRPr="00BC5876">
              <w:rPr>
                <w:rFonts w:cstheme="minorHAnsi"/>
                <w:color w:val="000000"/>
              </w:rPr>
              <w:t xml:space="preserve">constater qu’un fraudeur est en possession d’une carte lui </w:t>
            </w:r>
            <w:r>
              <w:rPr>
                <w:rFonts w:cstheme="minorHAnsi"/>
                <w:color w:val="000000"/>
              </w:rPr>
              <w:t xml:space="preserve">étant destinée. Dans ce cas de figure, le fraudeur s’attache à exploiter </w:t>
            </w:r>
            <w:r w:rsidRPr="00BC5876">
              <w:rPr>
                <w:rFonts w:cstheme="minorHAnsi"/>
                <w:color w:val="000000"/>
              </w:rPr>
              <w:t xml:space="preserve">des vulnérabilités </w:t>
            </w:r>
            <w:r>
              <w:rPr>
                <w:rFonts w:cstheme="minorHAnsi"/>
                <w:color w:val="000000"/>
              </w:rPr>
              <w:t>dans les procédures d’envoi des cartes.</w:t>
            </w:r>
          </w:p>
        </w:tc>
      </w:tr>
      <w:tr w:rsidR="00B670C2" w:rsidRPr="005B346D" w14:paraId="30F7AC69"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A8804BF" w14:textId="77883FB7" w:rsidR="00B670C2" w:rsidRDefault="00B670C2" w:rsidP="00D34BCC">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 xml:space="preserve">Carte </w:t>
            </w:r>
            <w:r w:rsidR="00440B20">
              <w:rPr>
                <w:rFonts w:ascii="Calibri" w:eastAsia="Times New Roman" w:hAnsi="Calibri" w:cs="Times New Roman"/>
                <w:color w:val="0070C0"/>
                <w:lang w:eastAsia="fr-FR"/>
              </w:rPr>
              <w:t>altérée</w:t>
            </w:r>
            <w:r>
              <w:rPr>
                <w:rFonts w:ascii="Calibri" w:eastAsia="Times New Roman" w:hAnsi="Calibri" w:cs="Times New Roman"/>
                <w:color w:val="0070C0"/>
                <w:lang w:eastAsia="fr-FR"/>
              </w:rPr>
              <w:t xml:space="preserve"> ou contrefaite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7F2B08A5" w14:textId="77777777" w:rsidR="00B670C2" w:rsidRDefault="005A36C1" w:rsidP="007E4607">
            <w:pPr>
              <w:spacing w:after="0" w:line="240" w:lineRule="auto"/>
              <w:jc w:val="both"/>
              <w:rPr>
                <w:rFonts w:ascii="Calibri" w:eastAsia="Times New Roman" w:hAnsi="Calibri" w:cs="Times New Roman"/>
                <w:color w:val="000000"/>
                <w:lang w:eastAsia="fr-FR"/>
              </w:rPr>
            </w:pPr>
            <w:r w:rsidRPr="005A36C1">
              <w:rPr>
                <w:rFonts w:cstheme="minorHAnsi"/>
                <w:color w:val="000000"/>
              </w:rPr>
              <w:t>La falsification d’une carte de paiement consiste à modifier les données magnétiques, d’embossage</w:t>
            </w:r>
            <w:r w:rsidRPr="005A36C1">
              <w:rPr>
                <w:rFonts w:cstheme="minorHAnsi"/>
                <w:color w:val="000000"/>
                <w:vertAlign w:val="superscript"/>
              </w:rPr>
              <w:footnoteReference w:id="2"/>
            </w:r>
            <w:r w:rsidRPr="005A36C1">
              <w:rPr>
                <w:rFonts w:cstheme="minorHAnsi"/>
                <w:color w:val="000000"/>
              </w:rPr>
              <w:t xml:space="preserve"> ou de programmation d’une carte authentique. La contrefaçon d’une carte suppose, quant à elle, la création d’un support donnant l’illusion d’être une carte de paiement authentique et/ou susceptible de tromper un automate ou un terminal de paiement de commerçant. Dans les deux cas, le fraudeur s’attache à ce qu’une telle carte supporte les données nécessaires pour tromper le système d’acceptation.</w:t>
            </w:r>
          </w:p>
        </w:tc>
      </w:tr>
      <w:tr w:rsidR="00B670C2" w:rsidRPr="005B346D" w14:paraId="66063A1A"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89E0566" w14:textId="77777777" w:rsidR="00B670C2" w:rsidRDefault="00B670C2"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Numéro de carte usurpé</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5141D7F2" w14:textId="77777777" w:rsidR="00B670C2" w:rsidRDefault="005A36C1" w:rsidP="007E4607">
            <w:pPr>
              <w:spacing w:after="0" w:line="240" w:lineRule="auto"/>
              <w:jc w:val="both"/>
              <w:rPr>
                <w:rFonts w:ascii="Calibri" w:eastAsia="Times New Roman" w:hAnsi="Calibri" w:cs="Times New Roman"/>
                <w:color w:val="000000"/>
                <w:lang w:eastAsia="fr-FR"/>
              </w:rPr>
            </w:pPr>
            <w:r w:rsidRPr="005A36C1">
              <w:rPr>
                <w:rFonts w:cstheme="minorHAnsi"/>
                <w:color w:val="000000"/>
              </w:rPr>
              <w:t>Le numéro de carte d’un porteur est relevé à son insu ou créé par « moulinage</w:t>
            </w:r>
            <w:r w:rsidRPr="005A36C1">
              <w:rPr>
                <w:rFonts w:cstheme="minorHAnsi"/>
                <w:color w:val="000000"/>
                <w:vertAlign w:val="superscript"/>
              </w:rPr>
              <w:footnoteReference w:id="3"/>
            </w:r>
            <w:r w:rsidRPr="005A36C1">
              <w:rPr>
                <w:rFonts w:cstheme="minorHAnsi"/>
                <w:color w:val="000000"/>
              </w:rPr>
              <w:t> » et utilisé en vente à distance. </w:t>
            </w:r>
          </w:p>
        </w:tc>
      </w:tr>
      <w:tr w:rsidR="00B670C2" w:rsidRPr="005B346D" w14:paraId="3F13C305"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7EFD376" w14:textId="410145F1" w:rsidR="00B670C2" w:rsidRDefault="00D34BCC" w:rsidP="00D34BCC">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Autres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66900B70" w14:textId="36826A5D" w:rsidR="00CC4E38" w:rsidRPr="00532246" w:rsidRDefault="00532246" w:rsidP="004C5924">
            <w:pPr>
              <w:spacing w:after="0" w:line="240" w:lineRule="auto"/>
              <w:jc w:val="both"/>
              <w:rPr>
                <w:rFonts w:cstheme="minorHAnsi"/>
                <w:color w:val="000000"/>
              </w:rPr>
            </w:pPr>
            <w:r>
              <w:rPr>
                <w:rFonts w:cstheme="minorHAnsi"/>
                <w:color w:val="000000"/>
              </w:rPr>
              <w:t>Tout autre motif de fraude comme l’u</w:t>
            </w:r>
            <w:r w:rsidR="005A36C1" w:rsidRPr="00532246">
              <w:rPr>
                <w:rFonts w:cstheme="minorHAnsi"/>
                <w:color w:val="000000"/>
              </w:rPr>
              <w:t>tilisation d’un numéro de carte (ou PAN : Personnal Account Number) cohérent mais non attribué à un porteur, puis utilisé en vente à distance</w:t>
            </w:r>
            <w:r>
              <w:rPr>
                <w:rFonts w:cstheme="minorHAnsi"/>
                <w:color w:val="000000"/>
              </w:rPr>
              <w:t>, la m</w:t>
            </w:r>
            <w:r w:rsidR="00D34BCC" w:rsidRPr="00532246">
              <w:rPr>
                <w:rFonts w:cstheme="minorHAnsi"/>
                <w:color w:val="000000"/>
              </w:rPr>
              <w:t>odification</w:t>
            </w:r>
            <w:r w:rsidR="004C5924">
              <w:rPr>
                <w:rFonts w:cstheme="minorHAnsi"/>
                <w:color w:val="000000"/>
              </w:rPr>
              <w:t xml:space="preserve"> par le fraudeur</w:t>
            </w:r>
            <w:r w:rsidR="00D34BCC" w:rsidRPr="00532246">
              <w:rPr>
                <w:rFonts w:cstheme="minorHAnsi"/>
                <w:color w:val="000000"/>
              </w:rPr>
              <w:t xml:space="preserve"> d’un ordre de paiement </w:t>
            </w:r>
            <w:r w:rsidR="004C5924">
              <w:rPr>
                <w:rFonts w:cstheme="minorHAnsi"/>
                <w:color w:val="000000"/>
              </w:rPr>
              <w:t>légitime</w:t>
            </w:r>
            <w:r>
              <w:rPr>
                <w:rFonts w:cstheme="minorHAnsi"/>
                <w:color w:val="000000"/>
              </w:rPr>
              <w:t>, la m</w:t>
            </w:r>
            <w:r w:rsidR="00D34BCC" w:rsidRPr="00D34BCC">
              <w:rPr>
                <w:rFonts w:cstheme="minorHAnsi"/>
                <w:color w:val="000000"/>
              </w:rPr>
              <w:t>anipulation du payeur ayant pour effet d’obtenir un paiement par carte</w:t>
            </w:r>
            <w:r w:rsidR="00CC4E38">
              <w:rPr>
                <w:rFonts w:cstheme="minorHAnsi"/>
                <w:color w:val="000000"/>
              </w:rPr>
              <w:t> </w:t>
            </w:r>
            <w:r>
              <w:rPr>
                <w:rFonts w:cstheme="minorHAnsi"/>
                <w:color w:val="000000"/>
              </w:rPr>
              <w:t xml:space="preserve">etc. </w:t>
            </w:r>
          </w:p>
        </w:tc>
      </w:tr>
    </w:tbl>
    <w:p w14:paraId="742D6FE7" w14:textId="77777777" w:rsidR="0073756E" w:rsidRDefault="0073756E" w:rsidP="0054268E"/>
    <w:p w14:paraId="0E2AF000" w14:textId="77777777" w:rsidR="00CA78E5" w:rsidRDefault="00CA78E5" w:rsidP="004732ED">
      <w:pPr>
        <w:pStyle w:val="Paragraphedeliste"/>
        <w:numPr>
          <w:ilvl w:val="0"/>
          <w:numId w:val="12"/>
        </w:numPr>
        <w:ind w:left="284" w:hanging="284"/>
        <w:jc w:val="both"/>
        <w:rPr>
          <w:rFonts w:cs="Cambria,Bold"/>
          <w:b/>
          <w:bCs/>
          <w:color w:val="548DD4" w:themeColor="text2" w:themeTint="99"/>
        </w:rPr>
      </w:pPr>
      <w:r w:rsidRPr="00C46B10">
        <w:rPr>
          <w:rFonts w:cs="Cambria,Bold"/>
          <w:b/>
          <w:bCs/>
          <w:color w:val="548DD4" w:themeColor="text2" w:themeTint="99"/>
        </w:rPr>
        <w:t xml:space="preserve">Règles spécifiques </w:t>
      </w:r>
      <w:r>
        <w:rPr>
          <w:rFonts w:cs="Cambria,Bold"/>
          <w:b/>
          <w:bCs/>
          <w:color w:val="548DD4" w:themeColor="text2" w:themeTint="99"/>
        </w:rPr>
        <w:t xml:space="preserve">devant être appliquées </w:t>
      </w:r>
      <w:r w:rsidRPr="00C46B10">
        <w:rPr>
          <w:rFonts w:cs="Cambria,Bold"/>
          <w:b/>
          <w:bCs/>
          <w:color w:val="548DD4" w:themeColor="text2" w:themeTint="99"/>
        </w:rPr>
        <w:t xml:space="preserve">pour les établissements émettant des cartes co-badgées (CB-MasterCard ou CB-Visa) </w:t>
      </w:r>
      <w:r w:rsidR="0010111B">
        <w:rPr>
          <w:rFonts w:cs="Cambria,Bold"/>
          <w:b/>
          <w:bCs/>
          <w:color w:val="548DD4" w:themeColor="text2" w:themeTint="99"/>
        </w:rPr>
        <w:t xml:space="preserve">et </w:t>
      </w:r>
      <w:r w:rsidRPr="00C46B10">
        <w:rPr>
          <w:rFonts w:cs="Cambria,Bold"/>
          <w:b/>
          <w:bCs/>
          <w:color w:val="548DD4" w:themeColor="text2" w:themeTint="99"/>
        </w:rPr>
        <w:t xml:space="preserve">destinées à prévenir les doubles comptes ou les omissions : </w:t>
      </w:r>
    </w:p>
    <w:p w14:paraId="2045E5E0" w14:textId="77777777" w:rsidR="00CA78E5" w:rsidRDefault="00CA78E5" w:rsidP="00CA78E5">
      <w:pPr>
        <w:pStyle w:val="Paragraphedeliste"/>
        <w:ind w:left="284"/>
        <w:rPr>
          <w:rFonts w:cs="Cambria,Bold"/>
          <w:b/>
          <w:bCs/>
          <w:color w:val="548DD4" w:themeColor="text2" w:themeTint="99"/>
        </w:rPr>
      </w:pPr>
    </w:p>
    <w:p w14:paraId="34908CDB" w14:textId="77777777" w:rsidR="00CA78E5" w:rsidRDefault="00CA78E5" w:rsidP="00CA78E5">
      <w:pPr>
        <w:pStyle w:val="Paragraphedeliste"/>
        <w:numPr>
          <w:ilvl w:val="0"/>
          <w:numId w:val="12"/>
        </w:numPr>
        <w:jc w:val="both"/>
      </w:pPr>
      <w:r>
        <w:rPr>
          <w:b/>
          <w:u w:val="single"/>
        </w:rPr>
        <w:t>P</w:t>
      </w:r>
      <w:r w:rsidRPr="00636F65">
        <w:rPr>
          <w:b/>
          <w:u w:val="single"/>
        </w:rPr>
        <w:t>ar le GIE CB</w:t>
      </w:r>
      <w:r>
        <w:t> : ne déclarer que les transactions frauduleuses traitées</w:t>
      </w:r>
      <w:r w:rsidR="00B05F89" w:rsidRPr="00532246">
        <w:rPr>
          <w:vertAlign w:val="superscript"/>
        </w:rPr>
        <w:t>4</w:t>
      </w:r>
      <w:r>
        <w:t xml:space="preserve"> par le système « CB » </w:t>
      </w:r>
      <w:r w:rsidR="0010111B">
        <w:t>(</w:t>
      </w:r>
      <w:r>
        <w:t>indépendamment du fait que la carte utilisée soit une carte « CB only » ou une carte co-badgée</w:t>
      </w:r>
      <w:r w:rsidR="0010111B">
        <w:t>)</w:t>
      </w:r>
      <w:r>
        <w:t> ;</w:t>
      </w:r>
    </w:p>
    <w:p w14:paraId="2878762A" w14:textId="77777777" w:rsidR="00CA78E5" w:rsidRDefault="00CA78E5" w:rsidP="00CA78E5">
      <w:pPr>
        <w:pStyle w:val="Paragraphedeliste"/>
      </w:pPr>
    </w:p>
    <w:p w14:paraId="305A0379" w14:textId="77777777" w:rsidR="00CA78E5" w:rsidRDefault="00CA78E5" w:rsidP="00CA78E5">
      <w:pPr>
        <w:pStyle w:val="Paragraphedeliste"/>
        <w:numPr>
          <w:ilvl w:val="0"/>
          <w:numId w:val="12"/>
        </w:numPr>
        <w:jc w:val="both"/>
      </w:pPr>
      <w:r>
        <w:rPr>
          <w:b/>
          <w:u w:val="single"/>
        </w:rPr>
        <w:t>P</w:t>
      </w:r>
      <w:r w:rsidRPr="00636F65">
        <w:rPr>
          <w:b/>
          <w:u w:val="single"/>
        </w:rPr>
        <w:t>ar MasterCard et Visa</w:t>
      </w:r>
      <w:r>
        <w:t> : ne déclarer que les transactions frauduleuses traitées</w:t>
      </w:r>
      <w:r w:rsidR="00F128C9">
        <w:rPr>
          <w:rStyle w:val="Appelnotedebasdep"/>
        </w:rPr>
        <w:footnoteReference w:id="4"/>
      </w:r>
      <w:r>
        <w:t xml:space="preserve"> par le système MasterCard ou le système Visa (indépendamment du fait que la carte utilisée soit une carte « MasterCard Only », « Visa only » ou une carte co-badgée</w:t>
      </w:r>
      <w:r w:rsidR="0010111B">
        <w:t>)</w:t>
      </w:r>
      <w:r w:rsidR="00F128C9">
        <w:t>.</w:t>
      </w:r>
    </w:p>
    <w:p w14:paraId="0844071C" w14:textId="77777777" w:rsidR="009F6546" w:rsidRDefault="009F6546">
      <w:r>
        <w:br w:type="page"/>
      </w:r>
    </w:p>
    <w:p w14:paraId="34D181F5" w14:textId="1BF3FD93" w:rsidR="0073756E" w:rsidRPr="0077158F" w:rsidRDefault="007E4607" w:rsidP="004732ED">
      <w:pPr>
        <w:jc w:val="both"/>
        <w:rPr>
          <w:rFonts w:cs="Cambria,Bold"/>
          <w:b/>
          <w:bCs/>
          <w:color w:val="548DD4" w:themeColor="text2" w:themeTint="99"/>
          <w:sz w:val="24"/>
          <w:szCs w:val="24"/>
          <w:u w:val="single"/>
        </w:rPr>
      </w:pPr>
      <w:r>
        <w:rPr>
          <w:rFonts w:cs="Cambria,Bold"/>
          <w:b/>
          <w:bCs/>
          <w:color w:val="548DD4" w:themeColor="text2" w:themeTint="99"/>
          <w:sz w:val="24"/>
          <w:szCs w:val="24"/>
          <w:u w:val="single"/>
        </w:rPr>
        <w:lastRenderedPageBreak/>
        <w:t xml:space="preserve">Section </w:t>
      </w:r>
      <w:r w:rsidR="00D20E5D">
        <w:rPr>
          <w:rFonts w:cs="Cambria,Bold"/>
          <w:b/>
          <w:bCs/>
          <w:color w:val="548DD4" w:themeColor="text2" w:themeTint="99"/>
          <w:sz w:val="24"/>
          <w:szCs w:val="24"/>
          <w:u w:val="single"/>
        </w:rPr>
        <w:t>5</w:t>
      </w:r>
      <w:r w:rsidR="00550B8F">
        <w:rPr>
          <w:rFonts w:cs="Cambria,Bold"/>
          <w:b/>
          <w:bCs/>
          <w:color w:val="548DD4" w:themeColor="text2" w:themeTint="99"/>
          <w:sz w:val="24"/>
          <w:szCs w:val="24"/>
          <w:u w:val="single"/>
        </w:rPr>
        <w:t>.</w:t>
      </w:r>
      <w:r>
        <w:rPr>
          <w:rFonts w:cs="Cambria,Bold"/>
          <w:b/>
          <w:bCs/>
          <w:color w:val="548DD4" w:themeColor="text2" w:themeTint="99"/>
          <w:sz w:val="24"/>
          <w:szCs w:val="24"/>
          <w:u w:val="single"/>
        </w:rPr>
        <w:t xml:space="preserve"> - </w:t>
      </w:r>
      <w:r w:rsidR="0073756E" w:rsidRPr="0077158F">
        <w:rPr>
          <w:rFonts w:cs="Cambria,Bold"/>
          <w:b/>
          <w:bCs/>
          <w:color w:val="548DD4" w:themeColor="text2" w:themeTint="99"/>
          <w:sz w:val="24"/>
          <w:szCs w:val="24"/>
          <w:u w:val="single"/>
        </w:rPr>
        <w:t>Ventilation de la fraude en vente à distance par secteur d’activité sur les transactions nationales (</w:t>
      </w:r>
      <w:r>
        <w:rPr>
          <w:rFonts w:cs="Cambria,Bold"/>
          <w:b/>
          <w:bCs/>
          <w:color w:val="548DD4" w:themeColor="text2" w:themeTint="99"/>
          <w:sz w:val="24"/>
          <w:szCs w:val="24"/>
          <w:u w:val="single"/>
        </w:rPr>
        <w:t xml:space="preserve">émetteur </w:t>
      </w:r>
      <w:r w:rsidR="0073756E" w:rsidRPr="0077158F">
        <w:rPr>
          <w:rFonts w:cs="Cambria,Bold"/>
          <w:b/>
          <w:bCs/>
          <w:color w:val="548DD4" w:themeColor="text2" w:themeTint="99"/>
          <w:sz w:val="24"/>
          <w:szCs w:val="24"/>
          <w:u w:val="single"/>
        </w:rPr>
        <w:t>FR/</w:t>
      </w:r>
      <w:r>
        <w:rPr>
          <w:rFonts w:cs="Cambria,Bold"/>
          <w:b/>
          <w:bCs/>
          <w:color w:val="548DD4" w:themeColor="text2" w:themeTint="99"/>
          <w:sz w:val="24"/>
          <w:szCs w:val="24"/>
          <w:u w:val="single"/>
        </w:rPr>
        <w:t xml:space="preserve">accepteur </w:t>
      </w:r>
      <w:r w:rsidR="0073756E" w:rsidRPr="0077158F">
        <w:rPr>
          <w:rFonts w:cs="Cambria,Bold"/>
          <w:b/>
          <w:bCs/>
          <w:color w:val="548DD4" w:themeColor="text2" w:themeTint="99"/>
          <w:sz w:val="24"/>
          <w:szCs w:val="24"/>
          <w:u w:val="single"/>
        </w:rPr>
        <w:t>FR)</w:t>
      </w:r>
    </w:p>
    <w:tbl>
      <w:tblPr>
        <w:tblW w:w="5000" w:type="pct"/>
        <w:tblCellMar>
          <w:left w:w="70" w:type="dxa"/>
          <w:right w:w="70" w:type="dxa"/>
        </w:tblCellMar>
        <w:tblLook w:val="04A0" w:firstRow="1" w:lastRow="0" w:firstColumn="1" w:lastColumn="0" w:noHBand="0" w:noVBand="1"/>
      </w:tblPr>
      <w:tblGrid>
        <w:gridCol w:w="150"/>
        <w:gridCol w:w="4919"/>
        <w:gridCol w:w="795"/>
        <w:gridCol w:w="780"/>
        <w:gridCol w:w="850"/>
        <w:gridCol w:w="795"/>
        <w:gridCol w:w="921"/>
      </w:tblGrid>
      <w:tr w:rsidR="00165CD4" w:rsidRPr="00165CD4" w14:paraId="22753247" w14:textId="77777777" w:rsidTr="00165CD4">
        <w:trPr>
          <w:trHeight w:val="316"/>
        </w:trPr>
        <w:tc>
          <w:tcPr>
            <w:tcW w:w="2750" w:type="pct"/>
            <w:gridSpan w:val="2"/>
            <w:vMerge w:val="restart"/>
            <w:tcBorders>
              <w:top w:val="single" w:sz="8" w:space="0" w:color="auto"/>
              <w:left w:val="nil"/>
              <w:bottom w:val="single" w:sz="8" w:space="0" w:color="000000"/>
              <w:right w:val="single" w:sz="4" w:space="0" w:color="D9D9D9"/>
            </w:tcBorders>
            <w:shd w:val="clear" w:color="auto" w:fill="auto"/>
            <w:vAlign w:val="center"/>
            <w:hideMark/>
          </w:tcPr>
          <w:p w14:paraId="41F41DAB" w14:textId="77777777" w:rsidR="00165CD4" w:rsidRPr="00165CD4" w:rsidRDefault="00165CD4" w:rsidP="00165CD4">
            <w:pPr>
              <w:spacing w:after="0" w:line="240" w:lineRule="auto"/>
              <w:jc w:val="center"/>
              <w:rPr>
                <w:rFonts w:ascii="Arial" w:eastAsia="Times New Roman" w:hAnsi="Arial" w:cs="Arial"/>
                <w:sz w:val="10"/>
                <w:szCs w:val="20"/>
                <w:lang w:eastAsia="fr-FR"/>
              </w:rPr>
            </w:pPr>
            <w:r w:rsidRPr="00165CD4">
              <w:rPr>
                <w:rFonts w:ascii="Arial" w:eastAsia="Times New Roman" w:hAnsi="Arial" w:cs="Arial"/>
                <w:sz w:val="10"/>
                <w:szCs w:val="20"/>
                <w:lang w:eastAsia="fr-FR"/>
              </w:rPr>
              <w:t> </w:t>
            </w:r>
          </w:p>
        </w:tc>
        <w:tc>
          <w:tcPr>
            <w:tcW w:w="856" w:type="pct"/>
            <w:gridSpan w:val="2"/>
            <w:tcBorders>
              <w:top w:val="single" w:sz="8" w:space="0" w:color="auto"/>
              <w:left w:val="nil"/>
              <w:bottom w:val="single" w:sz="4" w:space="0" w:color="D9D9D9"/>
              <w:right w:val="single" w:sz="4" w:space="0" w:color="D9D9D9"/>
            </w:tcBorders>
            <w:shd w:val="clear" w:color="auto" w:fill="auto"/>
            <w:vAlign w:val="center"/>
            <w:hideMark/>
          </w:tcPr>
          <w:p w14:paraId="4D22FA0B" w14:textId="77777777" w:rsidR="00165CD4" w:rsidRPr="00165CD4" w:rsidRDefault="00165CD4" w:rsidP="00165CD4">
            <w:pPr>
              <w:spacing w:after="0" w:line="240" w:lineRule="auto"/>
              <w:jc w:val="center"/>
              <w:rPr>
                <w:rFonts w:ascii="Arial" w:eastAsia="Times New Roman" w:hAnsi="Arial" w:cs="Arial"/>
                <w:sz w:val="10"/>
                <w:szCs w:val="20"/>
                <w:lang w:eastAsia="fr-FR"/>
              </w:rPr>
            </w:pPr>
            <w:r w:rsidRPr="00165CD4">
              <w:rPr>
                <w:rFonts w:ascii="Arial" w:eastAsia="Times New Roman" w:hAnsi="Arial" w:cs="Arial"/>
                <w:sz w:val="10"/>
                <w:szCs w:val="20"/>
                <w:lang w:eastAsia="fr-FR"/>
              </w:rPr>
              <w:t>Transactions</w:t>
            </w:r>
          </w:p>
        </w:tc>
        <w:tc>
          <w:tcPr>
            <w:tcW w:w="894" w:type="pct"/>
            <w:gridSpan w:val="2"/>
            <w:tcBorders>
              <w:top w:val="single" w:sz="8" w:space="0" w:color="auto"/>
              <w:left w:val="nil"/>
              <w:bottom w:val="single" w:sz="4" w:space="0" w:color="D9D9D9"/>
              <w:right w:val="single" w:sz="4" w:space="0" w:color="D9D9D9"/>
            </w:tcBorders>
            <w:shd w:val="clear" w:color="auto" w:fill="auto"/>
            <w:vAlign w:val="center"/>
            <w:hideMark/>
          </w:tcPr>
          <w:p w14:paraId="51DF586E" w14:textId="77777777" w:rsidR="00165CD4" w:rsidRPr="00165CD4" w:rsidRDefault="00165CD4" w:rsidP="00165CD4">
            <w:pPr>
              <w:spacing w:after="0" w:line="240" w:lineRule="auto"/>
              <w:jc w:val="center"/>
              <w:rPr>
                <w:rFonts w:ascii="Arial" w:eastAsia="Times New Roman" w:hAnsi="Arial" w:cs="Arial"/>
                <w:sz w:val="10"/>
                <w:szCs w:val="20"/>
                <w:lang w:eastAsia="fr-FR"/>
              </w:rPr>
            </w:pPr>
            <w:r w:rsidRPr="00165CD4">
              <w:rPr>
                <w:rFonts w:ascii="Arial" w:eastAsia="Times New Roman" w:hAnsi="Arial" w:cs="Arial"/>
                <w:sz w:val="10"/>
                <w:szCs w:val="20"/>
                <w:lang w:eastAsia="fr-FR"/>
              </w:rPr>
              <w:t>Fraude</w:t>
            </w:r>
          </w:p>
        </w:tc>
        <w:tc>
          <w:tcPr>
            <w:tcW w:w="500" w:type="pct"/>
            <w:vMerge w:val="restart"/>
            <w:tcBorders>
              <w:top w:val="single" w:sz="8" w:space="0" w:color="auto"/>
              <w:left w:val="single" w:sz="4" w:space="0" w:color="D9D9D9"/>
              <w:bottom w:val="single" w:sz="8" w:space="0" w:color="000000"/>
              <w:right w:val="single" w:sz="4" w:space="0" w:color="D9D9D9"/>
            </w:tcBorders>
            <w:shd w:val="clear" w:color="auto" w:fill="auto"/>
            <w:vAlign w:val="center"/>
            <w:hideMark/>
          </w:tcPr>
          <w:p w14:paraId="0050450A" w14:textId="77777777" w:rsidR="00165CD4" w:rsidRPr="00165CD4" w:rsidRDefault="00165CD4" w:rsidP="00165CD4">
            <w:pPr>
              <w:spacing w:after="0" w:line="240" w:lineRule="auto"/>
              <w:jc w:val="center"/>
              <w:rPr>
                <w:rFonts w:ascii="Arial" w:eastAsia="Times New Roman" w:hAnsi="Arial" w:cs="Arial"/>
                <w:sz w:val="10"/>
                <w:szCs w:val="20"/>
                <w:lang w:eastAsia="fr-FR"/>
              </w:rPr>
            </w:pPr>
            <w:r w:rsidRPr="00165CD4">
              <w:rPr>
                <w:rFonts w:ascii="Arial" w:eastAsia="Times New Roman" w:hAnsi="Arial" w:cs="Arial"/>
                <w:sz w:val="10"/>
                <w:szCs w:val="20"/>
                <w:lang w:eastAsia="fr-FR"/>
              </w:rPr>
              <w:t>Taux de fraude (%)</w:t>
            </w:r>
          </w:p>
        </w:tc>
      </w:tr>
      <w:tr w:rsidR="00165CD4" w:rsidRPr="00165CD4" w14:paraId="6BB2D21D" w14:textId="77777777" w:rsidTr="00165CD4">
        <w:trPr>
          <w:trHeight w:val="265"/>
        </w:trPr>
        <w:tc>
          <w:tcPr>
            <w:tcW w:w="2750" w:type="pct"/>
            <w:gridSpan w:val="2"/>
            <w:vMerge/>
            <w:tcBorders>
              <w:top w:val="single" w:sz="8" w:space="0" w:color="auto"/>
              <w:left w:val="nil"/>
              <w:bottom w:val="single" w:sz="8" w:space="0" w:color="000000"/>
              <w:right w:val="single" w:sz="4" w:space="0" w:color="D9D9D9"/>
            </w:tcBorders>
            <w:vAlign w:val="center"/>
            <w:hideMark/>
          </w:tcPr>
          <w:p w14:paraId="051696A1" w14:textId="77777777" w:rsidR="00165CD4" w:rsidRPr="00165CD4" w:rsidRDefault="00165CD4" w:rsidP="00165CD4">
            <w:pPr>
              <w:spacing w:after="0" w:line="240" w:lineRule="auto"/>
              <w:rPr>
                <w:rFonts w:ascii="Arial" w:eastAsia="Times New Roman" w:hAnsi="Arial" w:cs="Arial"/>
                <w:sz w:val="10"/>
                <w:szCs w:val="20"/>
                <w:lang w:eastAsia="fr-FR"/>
              </w:rPr>
            </w:pPr>
          </w:p>
        </w:tc>
        <w:tc>
          <w:tcPr>
            <w:tcW w:w="432" w:type="pct"/>
            <w:tcBorders>
              <w:top w:val="nil"/>
              <w:left w:val="nil"/>
              <w:bottom w:val="single" w:sz="8" w:space="0" w:color="auto"/>
              <w:right w:val="single" w:sz="4" w:space="0" w:color="D9D9D9"/>
            </w:tcBorders>
            <w:shd w:val="clear" w:color="auto" w:fill="auto"/>
            <w:vAlign w:val="center"/>
            <w:hideMark/>
          </w:tcPr>
          <w:p w14:paraId="4E9D4F44" w14:textId="77777777" w:rsidR="00165CD4" w:rsidRPr="00165CD4" w:rsidRDefault="00165CD4" w:rsidP="00165CD4">
            <w:pPr>
              <w:spacing w:after="0" w:line="240" w:lineRule="auto"/>
              <w:jc w:val="center"/>
              <w:rPr>
                <w:rFonts w:ascii="Arial" w:eastAsia="Times New Roman" w:hAnsi="Arial" w:cs="Arial"/>
                <w:sz w:val="10"/>
                <w:szCs w:val="16"/>
                <w:lang w:eastAsia="fr-FR"/>
              </w:rPr>
            </w:pPr>
            <w:r w:rsidRPr="00165CD4">
              <w:rPr>
                <w:rFonts w:ascii="Arial" w:eastAsia="Times New Roman" w:hAnsi="Arial" w:cs="Arial"/>
                <w:sz w:val="10"/>
                <w:szCs w:val="16"/>
                <w:lang w:eastAsia="fr-FR"/>
              </w:rPr>
              <w:t>volume</w:t>
            </w:r>
            <w:r w:rsidRPr="00165CD4">
              <w:rPr>
                <w:rFonts w:ascii="Arial" w:eastAsia="Times New Roman" w:hAnsi="Arial" w:cs="Arial"/>
                <w:sz w:val="10"/>
                <w:szCs w:val="16"/>
                <w:lang w:eastAsia="fr-FR"/>
              </w:rPr>
              <w:br/>
              <w:t>(en unités)</w:t>
            </w:r>
          </w:p>
        </w:tc>
        <w:tc>
          <w:tcPr>
            <w:tcW w:w="424" w:type="pct"/>
            <w:tcBorders>
              <w:top w:val="nil"/>
              <w:left w:val="nil"/>
              <w:bottom w:val="single" w:sz="8" w:space="0" w:color="auto"/>
              <w:right w:val="single" w:sz="4" w:space="0" w:color="D9D9D9"/>
            </w:tcBorders>
            <w:shd w:val="clear" w:color="auto" w:fill="auto"/>
            <w:vAlign w:val="center"/>
            <w:hideMark/>
          </w:tcPr>
          <w:p w14:paraId="03F6C710" w14:textId="77777777" w:rsidR="00165CD4" w:rsidRPr="00165CD4" w:rsidRDefault="00165CD4" w:rsidP="00165CD4">
            <w:pPr>
              <w:spacing w:after="0" w:line="240" w:lineRule="auto"/>
              <w:jc w:val="center"/>
              <w:rPr>
                <w:rFonts w:ascii="Arial" w:eastAsia="Times New Roman" w:hAnsi="Arial" w:cs="Arial"/>
                <w:sz w:val="10"/>
                <w:szCs w:val="16"/>
                <w:lang w:eastAsia="fr-FR"/>
              </w:rPr>
            </w:pPr>
            <w:r w:rsidRPr="00165CD4">
              <w:rPr>
                <w:rFonts w:ascii="Arial" w:eastAsia="Times New Roman" w:hAnsi="Arial" w:cs="Arial"/>
                <w:sz w:val="10"/>
                <w:szCs w:val="16"/>
                <w:lang w:eastAsia="fr-FR"/>
              </w:rPr>
              <w:t>valeur</w:t>
            </w:r>
            <w:r w:rsidRPr="00165CD4">
              <w:rPr>
                <w:rFonts w:ascii="Arial" w:eastAsia="Times New Roman" w:hAnsi="Arial" w:cs="Arial"/>
                <w:sz w:val="10"/>
                <w:szCs w:val="16"/>
                <w:lang w:eastAsia="fr-FR"/>
              </w:rPr>
              <w:br/>
              <w:t>(en euros)</w:t>
            </w:r>
          </w:p>
        </w:tc>
        <w:tc>
          <w:tcPr>
            <w:tcW w:w="462" w:type="pct"/>
            <w:tcBorders>
              <w:top w:val="nil"/>
              <w:left w:val="nil"/>
              <w:bottom w:val="single" w:sz="8" w:space="0" w:color="auto"/>
              <w:right w:val="single" w:sz="4" w:space="0" w:color="D9D9D9"/>
            </w:tcBorders>
            <w:shd w:val="clear" w:color="auto" w:fill="auto"/>
            <w:vAlign w:val="center"/>
            <w:hideMark/>
          </w:tcPr>
          <w:p w14:paraId="2D3F5EBF" w14:textId="77777777" w:rsidR="00165CD4" w:rsidRPr="00165CD4" w:rsidRDefault="00165CD4" w:rsidP="00165CD4">
            <w:pPr>
              <w:spacing w:after="0" w:line="240" w:lineRule="auto"/>
              <w:jc w:val="center"/>
              <w:rPr>
                <w:rFonts w:ascii="Arial" w:eastAsia="Times New Roman" w:hAnsi="Arial" w:cs="Arial"/>
                <w:sz w:val="10"/>
                <w:szCs w:val="16"/>
                <w:lang w:eastAsia="fr-FR"/>
              </w:rPr>
            </w:pPr>
            <w:r w:rsidRPr="00165CD4">
              <w:rPr>
                <w:rFonts w:ascii="Arial" w:eastAsia="Times New Roman" w:hAnsi="Arial" w:cs="Arial"/>
                <w:sz w:val="10"/>
                <w:szCs w:val="16"/>
                <w:lang w:eastAsia="fr-FR"/>
              </w:rPr>
              <w:t>volume</w:t>
            </w:r>
            <w:r w:rsidRPr="00165CD4">
              <w:rPr>
                <w:rFonts w:ascii="Arial" w:eastAsia="Times New Roman" w:hAnsi="Arial" w:cs="Arial"/>
                <w:sz w:val="10"/>
                <w:szCs w:val="16"/>
                <w:lang w:eastAsia="fr-FR"/>
              </w:rPr>
              <w:br/>
              <w:t>(en unités)</w:t>
            </w:r>
          </w:p>
        </w:tc>
        <w:tc>
          <w:tcPr>
            <w:tcW w:w="432" w:type="pct"/>
            <w:tcBorders>
              <w:top w:val="nil"/>
              <w:left w:val="nil"/>
              <w:bottom w:val="single" w:sz="8" w:space="0" w:color="auto"/>
              <w:right w:val="single" w:sz="4" w:space="0" w:color="D9D9D9"/>
            </w:tcBorders>
            <w:shd w:val="clear" w:color="auto" w:fill="auto"/>
            <w:vAlign w:val="center"/>
            <w:hideMark/>
          </w:tcPr>
          <w:p w14:paraId="7322861F" w14:textId="77777777" w:rsidR="00165CD4" w:rsidRPr="00165CD4" w:rsidRDefault="00165CD4" w:rsidP="00165CD4">
            <w:pPr>
              <w:spacing w:after="0" w:line="240" w:lineRule="auto"/>
              <w:jc w:val="center"/>
              <w:rPr>
                <w:rFonts w:ascii="Arial" w:eastAsia="Times New Roman" w:hAnsi="Arial" w:cs="Arial"/>
                <w:sz w:val="10"/>
                <w:szCs w:val="16"/>
                <w:lang w:eastAsia="fr-FR"/>
              </w:rPr>
            </w:pPr>
            <w:r w:rsidRPr="00165CD4">
              <w:rPr>
                <w:rFonts w:ascii="Arial" w:eastAsia="Times New Roman" w:hAnsi="Arial" w:cs="Arial"/>
                <w:sz w:val="10"/>
                <w:szCs w:val="16"/>
                <w:lang w:eastAsia="fr-FR"/>
              </w:rPr>
              <w:t>valeur</w:t>
            </w:r>
            <w:r w:rsidRPr="00165CD4">
              <w:rPr>
                <w:rFonts w:ascii="Arial" w:eastAsia="Times New Roman" w:hAnsi="Arial" w:cs="Arial"/>
                <w:sz w:val="10"/>
                <w:szCs w:val="16"/>
                <w:lang w:eastAsia="fr-FR"/>
              </w:rPr>
              <w:br/>
              <w:t>(en euros)</w:t>
            </w:r>
          </w:p>
        </w:tc>
        <w:tc>
          <w:tcPr>
            <w:tcW w:w="500" w:type="pct"/>
            <w:vMerge/>
            <w:tcBorders>
              <w:top w:val="single" w:sz="8" w:space="0" w:color="auto"/>
              <w:left w:val="single" w:sz="4" w:space="0" w:color="D9D9D9"/>
              <w:bottom w:val="single" w:sz="8" w:space="0" w:color="000000"/>
              <w:right w:val="single" w:sz="4" w:space="0" w:color="D9D9D9"/>
            </w:tcBorders>
            <w:vAlign w:val="center"/>
            <w:hideMark/>
          </w:tcPr>
          <w:p w14:paraId="0E805112" w14:textId="77777777" w:rsidR="00165CD4" w:rsidRPr="00165CD4" w:rsidRDefault="00165CD4" w:rsidP="00165CD4">
            <w:pPr>
              <w:spacing w:after="0" w:line="240" w:lineRule="auto"/>
              <w:rPr>
                <w:rFonts w:ascii="Arial" w:eastAsia="Times New Roman" w:hAnsi="Arial" w:cs="Arial"/>
                <w:sz w:val="10"/>
                <w:szCs w:val="20"/>
                <w:lang w:eastAsia="fr-FR"/>
              </w:rPr>
            </w:pPr>
          </w:p>
        </w:tc>
      </w:tr>
      <w:tr w:rsidR="00165CD4" w:rsidRPr="00165CD4" w14:paraId="10CA238C" w14:textId="77777777" w:rsidTr="00165CD4">
        <w:trPr>
          <w:trHeight w:val="276"/>
        </w:trPr>
        <w:tc>
          <w:tcPr>
            <w:tcW w:w="2750" w:type="pct"/>
            <w:gridSpan w:val="2"/>
            <w:tcBorders>
              <w:top w:val="single" w:sz="8" w:space="0" w:color="auto"/>
              <w:left w:val="nil"/>
              <w:bottom w:val="dashed" w:sz="4" w:space="0" w:color="auto"/>
              <w:right w:val="single" w:sz="4" w:space="0" w:color="FFFFFF"/>
            </w:tcBorders>
            <w:shd w:val="clear" w:color="auto" w:fill="auto"/>
            <w:vAlign w:val="center"/>
            <w:hideMark/>
          </w:tcPr>
          <w:p w14:paraId="463393AD"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Commerce généraliste et semi-généraliste</w:t>
            </w:r>
          </w:p>
        </w:tc>
        <w:tc>
          <w:tcPr>
            <w:tcW w:w="432" w:type="pct"/>
            <w:tcBorders>
              <w:top w:val="nil"/>
              <w:left w:val="nil"/>
              <w:bottom w:val="dashed" w:sz="4" w:space="0" w:color="auto"/>
              <w:right w:val="single" w:sz="4" w:space="0" w:color="FFFFFF"/>
            </w:tcBorders>
            <w:shd w:val="clear" w:color="FFFFFF" w:fill="D9D9D9"/>
            <w:noWrap/>
            <w:vAlign w:val="center"/>
            <w:hideMark/>
          </w:tcPr>
          <w:p w14:paraId="43B5387A"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1A4477FD"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4FBBEC51"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7765BD3C"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5199086"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254CECBE"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35C2748C"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Produits techniques et culturels (livre, dvd, informatique, hi-fi, photo, vidéo, électroménager…)</w:t>
            </w:r>
          </w:p>
        </w:tc>
        <w:tc>
          <w:tcPr>
            <w:tcW w:w="432" w:type="pct"/>
            <w:tcBorders>
              <w:top w:val="nil"/>
              <w:left w:val="nil"/>
              <w:bottom w:val="dashed" w:sz="4" w:space="0" w:color="auto"/>
              <w:right w:val="single" w:sz="4" w:space="0" w:color="FFFFFF"/>
            </w:tcBorders>
            <w:shd w:val="clear" w:color="FFFFFF" w:fill="D9D9D9"/>
            <w:noWrap/>
            <w:vAlign w:val="center"/>
            <w:hideMark/>
          </w:tcPr>
          <w:p w14:paraId="7FFDEBA8"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4B469334"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6D89FF70"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62196BD0"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0449FBC8"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0B416221"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1322FAA3"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Voyage, transport</w:t>
            </w:r>
          </w:p>
        </w:tc>
        <w:tc>
          <w:tcPr>
            <w:tcW w:w="432" w:type="pct"/>
            <w:tcBorders>
              <w:top w:val="nil"/>
              <w:left w:val="nil"/>
              <w:bottom w:val="dashed" w:sz="4" w:space="0" w:color="auto"/>
              <w:right w:val="single" w:sz="4" w:space="0" w:color="FFFFFF"/>
            </w:tcBorders>
            <w:shd w:val="clear" w:color="FFFFFF" w:fill="D9D9D9"/>
            <w:noWrap/>
            <w:vAlign w:val="center"/>
            <w:hideMark/>
          </w:tcPr>
          <w:p w14:paraId="3FF5E8E0"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57F3B2EA"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3B23972C"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5F6B367E"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2F1672DD"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239AD9C6"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665E374B"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Téléphonie et communication</w:t>
            </w:r>
          </w:p>
        </w:tc>
        <w:tc>
          <w:tcPr>
            <w:tcW w:w="432" w:type="pct"/>
            <w:tcBorders>
              <w:top w:val="nil"/>
              <w:left w:val="nil"/>
              <w:bottom w:val="dashed" w:sz="4" w:space="0" w:color="auto"/>
              <w:right w:val="single" w:sz="4" w:space="0" w:color="FFFFFF"/>
            </w:tcBorders>
            <w:shd w:val="clear" w:color="FFFFFF" w:fill="D9D9D9"/>
            <w:noWrap/>
            <w:vAlign w:val="center"/>
            <w:hideMark/>
          </w:tcPr>
          <w:p w14:paraId="477C3800"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037D263B"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3304AD2"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1EB34CA2"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5F8F9D85"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438B6BCA"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06A14E56"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Alimentation</w:t>
            </w:r>
          </w:p>
        </w:tc>
        <w:tc>
          <w:tcPr>
            <w:tcW w:w="432" w:type="pct"/>
            <w:tcBorders>
              <w:top w:val="nil"/>
              <w:left w:val="nil"/>
              <w:bottom w:val="dashed" w:sz="4" w:space="0" w:color="auto"/>
              <w:right w:val="single" w:sz="4" w:space="0" w:color="FFFFFF"/>
            </w:tcBorders>
            <w:shd w:val="clear" w:color="FFFFFF" w:fill="D9D9D9"/>
            <w:noWrap/>
            <w:vAlign w:val="center"/>
            <w:hideMark/>
          </w:tcPr>
          <w:p w14:paraId="7546DEB4"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3ADA98B3"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6F20E7DC"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5C6BE525"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3242B0F5"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10EF97BC"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56B2F47B"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Equipement de la maison, ameublement, bricolage</w:t>
            </w:r>
          </w:p>
        </w:tc>
        <w:tc>
          <w:tcPr>
            <w:tcW w:w="432" w:type="pct"/>
            <w:tcBorders>
              <w:top w:val="nil"/>
              <w:left w:val="nil"/>
              <w:bottom w:val="dashed" w:sz="4" w:space="0" w:color="auto"/>
              <w:right w:val="single" w:sz="4" w:space="0" w:color="FFFFFF"/>
            </w:tcBorders>
            <w:shd w:val="clear" w:color="FFFFFF" w:fill="D9D9D9"/>
            <w:noWrap/>
            <w:vAlign w:val="center"/>
            <w:hideMark/>
          </w:tcPr>
          <w:p w14:paraId="2A59F331"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57D376D7"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6683005A"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4AB16C43"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39331F1"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30B78F84"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529CCF14"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Assurance</w:t>
            </w:r>
          </w:p>
        </w:tc>
        <w:tc>
          <w:tcPr>
            <w:tcW w:w="432" w:type="pct"/>
            <w:tcBorders>
              <w:top w:val="nil"/>
              <w:left w:val="nil"/>
              <w:bottom w:val="dashed" w:sz="4" w:space="0" w:color="auto"/>
              <w:right w:val="single" w:sz="4" w:space="0" w:color="FFFFFF"/>
            </w:tcBorders>
            <w:shd w:val="clear" w:color="FFFFFF" w:fill="D9D9D9"/>
            <w:noWrap/>
            <w:vAlign w:val="center"/>
            <w:hideMark/>
          </w:tcPr>
          <w:p w14:paraId="64C10C8D"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5D0B78B4"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1C22786B"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71727157"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4E7319F4"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28EF250B"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0D0987AF"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Santé, Beauté, Hygiène</w:t>
            </w:r>
          </w:p>
        </w:tc>
        <w:tc>
          <w:tcPr>
            <w:tcW w:w="432" w:type="pct"/>
            <w:tcBorders>
              <w:top w:val="nil"/>
              <w:left w:val="nil"/>
              <w:bottom w:val="dashed" w:sz="4" w:space="0" w:color="auto"/>
              <w:right w:val="single" w:sz="4" w:space="0" w:color="FFFFFF"/>
            </w:tcBorders>
            <w:shd w:val="clear" w:color="FFFFFF" w:fill="D9D9D9"/>
            <w:noWrap/>
            <w:vAlign w:val="center"/>
            <w:hideMark/>
          </w:tcPr>
          <w:p w14:paraId="41A6F80D"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3D86DC65"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9C1E814"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1EF13BDB"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27920C50"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3A738C74"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796CD183"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Services aux particuliers et aux professionnels</w:t>
            </w:r>
          </w:p>
        </w:tc>
        <w:tc>
          <w:tcPr>
            <w:tcW w:w="432" w:type="pct"/>
            <w:tcBorders>
              <w:top w:val="nil"/>
              <w:left w:val="nil"/>
              <w:bottom w:val="dashed" w:sz="4" w:space="0" w:color="auto"/>
              <w:right w:val="single" w:sz="4" w:space="0" w:color="FFFFFF"/>
            </w:tcBorders>
            <w:shd w:val="clear" w:color="FFFFFF" w:fill="D9D9D9"/>
            <w:noWrap/>
            <w:vAlign w:val="center"/>
            <w:hideMark/>
          </w:tcPr>
          <w:p w14:paraId="5EAE8978"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68DCBC99"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73C2B05"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5A4B5F2B"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88ED44F"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68A3DF9A"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7DE008FE"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Approvisionnement d’un compte, vente de particulier à particulier</w:t>
            </w:r>
          </w:p>
        </w:tc>
        <w:tc>
          <w:tcPr>
            <w:tcW w:w="432" w:type="pct"/>
            <w:tcBorders>
              <w:top w:val="nil"/>
              <w:left w:val="nil"/>
              <w:bottom w:val="dashed" w:sz="4" w:space="0" w:color="auto"/>
              <w:right w:val="single" w:sz="4" w:space="0" w:color="FFFFFF"/>
            </w:tcBorders>
            <w:shd w:val="clear" w:color="FFFFFF" w:fill="D9D9D9"/>
            <w:noWrap/>
            <w:vAlign w:val="center"/>
            <w:hideMark/>
          </w:tcPr>
          <w:p w14:paraId="16C5E3B9"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40BDF5F7"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5291E2B1"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41B27199"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75BCD77D"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29CD98D2"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71C60743"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Jeux en ligne</w:t>
            </w:r>
          </w:p>
        </w:tc>
        <w:tc>
          <w:tcPr>
            <w:tcW w:w="432" w:type="pct"/>
            <w:tcBorders>
              <w:top w:val="nil"/>
              <w:left w:val="nil"/>
              <w:bottom w:val="dashed" w:sz="4" w:space="0" w:color="auto"/>
              <w:right w:val="single" w:sz="4" w:space="0" w:color="FFFFFF"/>
            </w:tcBorders>
            <w:shd w:val="clear" w:color="FFFFFF" w:fill="D9D9D9"/>
            <w:noWrap/>
            <w:vAlign w:val="center"/>
            <w:hideMark/>
          </w:tcPr>
          <w:p w14:paraId="551179E5"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1A7E170B"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246B418"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1D77F847"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E7C8380"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5429341A" w14:textId="77777777" w:rsidTr="00165CD4">
        <w:trPr>
          <w:trHeight w:val="276"/>
        </w:trPr>
        <w:tc>
          <w:tcPr>
            <w:tcW w:w="2750" w:type="pct"/>
            <w:gridSpan w:val="2"/>
            <w:tcBorders>
              <w:top w:val="dashed" w:sz="4" w:space="0" w:color="auto"/>
              <w:left w:val="nil"/>
              <w:bottom w:val="single" w:sz="8" w:space="0" w:color="auto"/>
              <w:right w:val="single" w:sz="4" w:space="0" w:color="FFFFFF"/>
            </w:tcBorders>
            <w:shd w:val="clear" w:color="auto" w:fill="auto"/>
            <w:vAlign w:val="center"/>
            <w:hideMark/>
          </w:tcPr>
          <w:p w14:paraId="4F6C8987"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Divers</w:t>
            </w:r>
          </w:p>
        </w:tc>
        <w:tc>
          <w:tcPr>
            <w:tcW w:w="432" w:type="pct"/>
            <w:tcBorders>
              <w:top w:val="dashed" w:sz="4" w:space="0" w:color="auto"/>
              <w:left w:val="nil"/>
              <w:bottom w:val="single" w:sz="8" w:space="0" w:color="auto"/>
              <w:right w:val="single" w:sz="4" w:space="0" w:color="FFFFFF"/>
            </w:tcBorders>
            <w:shd w:val="clear" w:color="FFFFFF" w:fill="D9D9D9"/>
            <w:noWrap/>
            <w:vAlign w:val="center"/>
            <w:hideMark/>
          </w:tcPr>
          <w:p w14:paraId="11E4E6B3"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24" w:type="pct"/>
            <w:tcBorders>
              <w:top w:val="dashed" w:sz="4" w:space="0" w:color="auto"/>
              <w:left w:val="nil"/>
              <w:bottom w:val="single" w:sz="8" w:space="0" w:color="auto"/>
              <w:right w:val="single" w:sz="4" w:space="0" w:color="FFFFFF"/>
            </w:tcBorders>
            <w:shd w:val="clear" w:color="FFFFFF" w:fill="F2F2F2"/>
            <w:noWrap/>
            <w:vAlign w:val="center"/>
            <w:hideMark/>
          </w:tcPr>
          <w:p w14:paraId="15730EA9"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62" w:type="pct"/>
            <w:tcBorders>
              <w:top w:val="dashed" w:sz="4" w:space="0" w:color="auto"/>
              <w:left w:val="nil"/>
              <w:bottom w:val="single" w:sz="8" w:space="0" w:color="auto"/>
              <w:right w:val="single" w:sz="4" w:space="0" w:color="FFFFFF"/>
            </w:tcBorders>
            <w:shd w:val="clear" w:color="FFFFFF" w:fill="D9D9D9"/>
            <w:noWrap/>
            <w:vAlign w:val="center"/>
            <w:hideMark/>
          </w:tcPr>
          <w:p w14:paraId="7A06349F"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432" w:type="pct"/>
            <w:tcBorders>
              <w:top w:val="dashed" w:sz="4" w:space="0" w:color="auto"/>
              <w:left w:val="nil"/>
              <w:bottom w:val="single" w:sz="8" w:space="0" w:color="auto"/>
              <w:right w:val="single" w:sz="4" w:space="0" w:color="FFFFFF"/>
            </w:tcBorders>
            <w:shd w:val="clear" w:color="FFFFFF" w:fill="F2F2F2"/>
            <w:noWrap/>
            <w:vAlign w:val="center"/>
            <w:hideMark/>
          </w:tcPr>
          <w:p w14:paraId="5B1D9FB0"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c>
          <w:tcPr>
            <w:tcW w:w="500" w:type="pct"/>
            <w:tcBorders>
              <w:top w:val="dashed" w:sz="4" w:space="0" w:color="auto"/>
              <w:left w:val="nil"/>
              <w:bottom w:val="single" w:sz="8" w:space="0" w:color="auto"/>
              <w:right w:val="single" w:sz="4" w:space="0" w:color="FFFFFF"/>
            </w:tcBorders>
            <w:shd w:val="clear" w:color="FFFFFF" w:fill="D9D9D9"/>
            <w:noWrap/>
            <w:vAlign w:val="center"/>
            <w:hideMark/>
          </w:tcPr>
          <w:p w14:paraId="1A83FA62"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66E6EC0B" w14:textId="77777777" w:rsidTr="00165CD4">
        <w:trPr>
          <w:trHeight w:val="276"/>
        </w:trPr>
        <w:tc>
          <w:tcPr>
            <w:tcW w:w="2750" w:type="pct"/>
            <w:gridSpan w:val="2"/>
            <w:tcBorders>
              <w:top w:val="single" w:sz="8" w:space="0" w:color="auto"/>
              <w:left w:val="nil"/>
              <w:bottom w:val="single" w:sz="8" w:space="0" w:color="auto"/>
              <w:right w:val="single" w:sz="4" w:space="0" w:color="D9D9D9"/>
            </w:tcBorders>
            <w:shd w:val="clear" w:color="auto" w:fill="auto"/>
            <w:noWrap/>
            <w:vAlign w:val="center"/>
            <w:hideMark/>
          </w:tcPr>
          <w:p w14:paraId="4BC0B39E" w14:textId="77777777" w:rsidR="00165CD4" w:rsidRPr="00165CD4" w:rsidRDefault="00165CD4" w:rsidP="00165CD4">
            <w:pPr>
              <w:spacing w:after="0" w:line="240" w:lineRule="auto"/>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Total</w:t>
            </w:r>
          </w:p>
        </w:tc>
        <w:tc>
          <w:tcPr>
            <w:tcW w:w="432" w:type="pct"/>
            <w:tcBorders>
              <w:top w:val="nil"/>
              <w:left w:val="nil"/>
              <w:bottom w:val="single" w:sz="8" w:space="0" w:color="auto"/>
              <w:right w:val="single" w:sz="4" w:space="0" w:color="D9D9D9"/>
            </w:tcBorders>
            <w:shd w:val="clear" w:color="auto" w:fill="auto"/>
            <w:noWrap/>
            <w:vAlign w:val="center"/>
            <w:hideMark/>
          </w:tcPr>
          <w:p w14:paraId="3AB79D00" w14:textId="77777777" w:rsidR="00165CD4" w:rsidRPr="00165CD4" w:rsidRDefault="00165CD4" w:rsidP="00165CD4">
            <w:pPr>
              <w:spacing w:after="0" w:line="240" w:lineRule="auto"/>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 </w:t>
            </w:r>
          </w:p>
        </w:tc>
        <w:tc>
          <w:tcPr>
            <w:tcW w:w="424" w:type="pct"/>
            <w:tcBorders>
              <w:top w:val="nil"/>
              <w:left w:val="nil"/>
              <w:bottom w:val="single" w:sz="8" w:space="0" w:color="auto"/>
              <w:right w:val="single" w:sz="4" w:space="0" w:color="D9D9D9"/>
            </w:tcBorders>
            <w:shd w:val="clear" w:color="auto" w:fill="auto"/>
            <w:noWrap/>
            <w:vAlign w:val="center"/>
            <w:hideMark/>
          </w:tcPr>
          <w:p w14:paraId="310ED25B" w14:textId="77777777" w:rsidR="00165CD4" w:rsidRPr="00165CD4" w:rsidRDefault="00165CD4" w:rsidP="00165CD4">
            <w:pPr>
              <w:spacing w:after="0" w:line="240" w:lineRule="auto"/>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 </w:t>
            </w:r>
          </w:p>
        </w:tc>
        <w:tc>
          <w:tcPr>
            <w:tcW w:w="462" w:type="pct"/>
            <w:tcBorders>
              <w:top w:val="nil"/>
              <w:left w:val="nil"/>
              <w:bottom w:val="single" w:sz="8" w:space="0" w:color="auto"/>
              <w:right w:val="single" w:sz="4" w:space="0" w:color="D9D9D9"/>
            </w:tcBorders>
            <w:shd w:val="clear" w:color="auto" w:fill="auto"/>
            <w:noWrap/>
            <w:vAlign w:val="center"/>
            <w:hideMark/>
          </w:tcPr>
          <w:p w14:paraId="20A8C03B" w14:textId="77777777" w:rsidR="00165CD4" w:rsidRPr="00165CD4" w:rsidRDefault="00165CD4" w:rsidP="00165CD4">
            <w:pPr>
              <w:spacing w:after="0" w:line="240" w:lineRule="auto"/>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 </w:t>
            </w:r>
          </w:p>
        </w:tc>
        <w:tc>
          <w:tcPr>
            <w:tcW w:w="432" w:type="pct"/>
            <w:tcBorders>
              <w:top w:val="nil"/>
              <w:left w:val="nil"/>
              <w:bottom w:val="single" w:sz="8" w:space="0" w:color="auto"/>
              <w:right w:val="single" w:sz="4" w:space="0" w:color="D9D9D9"/>
            </w:tcBorders>
            <w:shd w:val="clear" w:color="auto" w:fill="auto"/>
            <w:noWrap/>
            <w:vAlign w:val="center"/>
            <w:hideMark/>
          </w:tcPr>
          <w:p w14:paraId="04E362BE" w14:textId="77777777" w:rsidR="00165CD4" w:rsidRPr="00165CD4" w:rsidRDefault="00165CD4" w:rsidP="00165CD4">
            <w:pPr>
              <w:spacing w:after="0" w:line="240" w:lineRule="auto"/>
              <w:jc w:val="right"/>
              <w:rPr>
                <w:rFonts w:ascii="Arial" w:eastAsia="Times New Roman" w:hAnsi="Arial" w:cs="Arial"/>
                <w:sz w:val="10"/>
                <w:szCs w:val="20"/>
                <w:lang w:eastAsia="fr-FR"/>
              </w:rPr>
            </w:pPr>
            <w:r w:rsidRPr="00165CD4">
              <w:rPr>
                <w:rFonts w:ascii="Arial" w:eastAsia="Times New Roman" w:hAnsi="Arial" w:cs="Arial"/>
                <w:sz w:val="10"/>
                <w:szCs w:val="20"/>
                <w:lang w:eastAsia="fr-FR"/>
              </w:rPr>
              <w:t> </w:t>
            </w:r>
          </w:p>
        </w:tc>
        <w:tc>
          <w:tcPr>
            <w:tcW w:w="500" w:type="pct"/>
            <w:tcBorders>
              <w:top w:val="nil"/>
              <w:left w:val="nil"/>
              <w:bottom w:val="single" w:sz="8" w:space="0" w:color="auto"/>
              <w:right w:val="nil"/>
            </w:tcBorders>
            <w:shd w:val="clear" w:color="FFFFFF" w:fill="D9D9D9"/>
            <w:noWrap/>
            <w:vAlign w:val="center"/>
            <w:hideMark/>
          </w:tcPr>
          <w:p w14:paraId="224FB531" w14:textId="77777777" w:rsidR="00165CD4" w:rsidRPr="00165CD4" w:rsidRDefault="00165CD4" w:rsidP="00165CD4">
            <w:pPr>
              <w:spacing w:after="0" w:line="240" w:lineRule="auto"/>
              <w:jc w:val="right"/>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r w:rsidR="00165CD4" w:rsidRPr="00165CD4" w14:paraId="3591DD23" w14:textId="77777777" w:rsidTr="00165CD4">
        <w:trPr>
          <w:trHeight w:val="276"/>
        </w:trPr>
        <w:tc>
          <w:tcPr>
            <w:tcW w:w="79" w:type="pct"/>
            <w:tcBorders>
              <w:top w:val="nil"/>
              <w:left w:val="nil"/>
              <w:bottom w:val="nil"/>
              <w:right w:val="nil"/>
            </w:tcBorders>
            <w:shd w:val="clear" w:color="auto" w:fill="auto"/>
            <w:noWrap/>
            <w:vAlign w:val="bottom"/>
            <w:hideMark/>
          </w:tcPr>
          <w:p w14:paraId="43FA5AA1" w14:textId="77777777" w:rsidR="00165CD4" w:rsidRPr="00165CD4" w:rsidRDefault="00165CD4" w:rsidP="00165CD4">
            <w:pPr>
              <w:spacing w:after="0" w:line="240" w:lineRule="auto"/>
              <w:jc w:val="right"/>
              <w:rPr>
                <w:rFonts w:ascii="Arial" w:eastAsia="Times New Roman" w:hAnsi="Arial" w:cs="Arial"/>
                <w:sz w:val="10"/>
                <w:szCs w:val="18"/>
                <w:lang w:eastAsia="fr-FR"/>
              </w:rPr>
            </w:pPr>
          </w:p>
        </w:tc>
        <w:tc>
          <w:tcPr>
            <w:tcW w:w="4921" w:type="pct"/>
            <w:gridSpan w:val="6"/>
            <w:tcBorders>
              <w:top w:val="nil"/>
              <w:left w:val="nil"/>
              <w:bottom w:val="single" w:sz="8" w:space="0" w:color="auto"/>
              <w:right w:val="nil"/>
            </w:tcBorders>
            <w:shd w:val="clear" w:color="auto" w:fill="auto"/>
            <w:vAlign w:val="center"/>
            <w:hideMark/>
          </w:tcPr>
          <w:p w14:paraId="1D67E390" w14:textId="5B442FF4" w:rsidR="00165CD4" w:rsidRPr="00165CD4" w:rsidRDefault="00165CD4" w:rsidP="00165CD4">
            <w:pPr>
              <w:spacing w:after="0" w:line="240" w:lineRule="auto"/>
              <w:rPr>
                <w:rFonts w:ascii="Arial" w:eastAsia="Times New Roman" w:hAnsi="Arial" w:cs="Arial"/>
                <w:b/>
                <w:bCs/>
                <w:sz w:val="10"/>
                <w:szCs w:val="20"/>
                <w:lang w:eastAsia="fr-FR"/>
              </w:rPr>
            </w:pPr>
            <w:r w:rsidRPr="00165CD4">
              <w:rPr>
                <w:rFonts w:ascii="Arial" w:eastAsia="Times New Roman" w:hAnsi="Arial" w:cs="Arial"/>
                <w:b/>
                <w:bCs/>
                <w:sz w:val="10"/>
                <w:szCs w:val="20"/>
                <w:lang w:eastAsia="fr-FR"/>
              </w:rPr>
              <w:t>5.2 - Commentaires supplémentaires</w:t>
            </w:r>
          </w:p>
        </w:tc>
      </w:tr>
      <w:tr w:rsidR="00165CD4" w:rsidRPr="00165CD4" w14:paraId="3F3A0132" w14:textId="77777777" w:rsidTr="00165CD4">
        <w:trPr>
          <w:trHeight w:val="2010"/>
        </w:trPr>
        <w:tc>
          <w:tcPr>
            <w:tcW w:w="5000" w:type="pct"/>
            <w:gridSpan w:val="7"/>
            <w:tcBorders>
              <w:top w:val="single" w:sz="8" w:space="0" w:color="auto"/>
              <w:left w:val="nil"/>
              <w:bottom w:val="single" w:sz="8" w:space="0" w:color="auto"/>
              <w:right w:val="nil"/>
            </w:tcBorders>
            <w:shd w:val="clear" w:color="FFFFFF" w:fill="F2F2F2"/>
            <w:noWrap/>
            <w:hideMark/>
          </w:tcPr>
          <w:p w14:paraId="37DD48AE" w14:textId="77777777" w:rsidR="00165CD4" w:rsidRPr="00165CD4" w:rsidRDefault="00165CD4" w:rsidP="00165CD4">
            <w:pPr>
              <w:spacing w:after="0" w:line="240" w:lineRule="auto"/>
              <w:rPr>
                <w:rFonts w:ascii="Arial" w:eastAsia="Times New Roman" w:hAnsi="Arial" w:cs="Arial"/>
                <w:sz w:val="10"/>
                <w:szCs w:val="18"/>
                <w:lang w:eastAsia="fr-FR"/>
              </w:rPr>
            </w:pPr>
            <w:r w:rsidRPr="00165CD4">
              <w:rPr>
                <w:rFonts w:ascii="Arial" w:eastAsia="Times New Roman" w:hAnsi="Arial" w:cs="Arial"/>
                <w:sz w:val="10"/>
                <w:szCs w:val="18"/>
                <w:lang w:eastAsia="fr-FR"/>
              </w:rPr>
              <w:t> </w:t>
            </w:r>
          </w:p>
        </w:tc>
      </w:tr>
    </w:tbl>
    <w:p w14:paraId="00D7173B" w14:textId="77777777" w:rsidR="00165CD4" w:rsidRDefault="00165CD4" w:rsidP="007E4607">
      <w:pPr>
        <w:jc w:val="both"/>
      </w:pPr>
    </w:p>
    <w:p w14:paraId="39D419F4" w14:textId="3074831F" w:rsidR="0054268E" w:rsidRDefault="00C40BB6" w:rsidP="007E4607">
      <w:pPr>
        <w:jc w:val="both"/>
      </w:pPr>
      <w:r>
        <w:t>Cette collecte concerne uniquement la vente à distance et les paiements domestiques (émetteur et commerçants français).</w:t>
      </w:r>
    </w:p>
    <w:p w14:paraId="7F6323E0" w14:textId="77777777" w:rsidR="001752B5" w:rsidRDefault="001752B5">
      <w:r>
        <w:br w:type="page"/>
      </w:r>
    </w:p>
    <w:p w14:paraId="18F47DAF" w14:textId="78736E80" w:rsidR="00C40BB6" w:rsidRDefault="00C40BB6" w:rsidP="007E4607">
      <w:pPr>
        <w:jc w:val="both"/>
      </w:pPr>
      <w:r>
        <w:lastRenderedPageBreak/>
        <w:t>Afin de clarifier la manière dont les commerçants doivent être classés, quelques exemples sont présentés ci-dessous.</w:t>
      </w:r>
    </w:p>
    <w:tbl>
      <w:tblPr>
        <w:tblW w:w="9087" w:type="dxa"/>
        <w:tblInd w:w="55" w:type="dxa"/>
        <w:tblCellMar>
          <w:left w:w="70" w:type="dxa"/>
          <w:right w:w="70" w:type="dxa"/>
        </w:tblCellMar>
        <w:tblLook w:val="04A0" w:firstRow="1" w:lastRow="0" w:firstColumn="1" w:lastColumn="0" w:noHBand="0" w:noVBand="1"/>
      </w:tblPr>
      <w:tblGrid>
        <w:gridCol w:w="2425"/>
        <w:gridCol w:w="6662"/>
      </w:tblGrid>
      <w:tr w:rsidR="00AE5C3C" w:rsidRPr="005B346D" w14:paraId="5DC54C36" w14:textId="77777777" w:rsidTr="007E4607">
        <w:trPr>
          <w:trHeight w:val="750"/>
        </w:trPr>
        <w:tc>
          <w:tcPr>
            <w:tcW w:w="2425" w:type="dxa"/>
            <w:tcBorders>
              <w:top w:val="single" w:sz="12" w:space="0" w:color="0070C0"/>
              <w:left w:val="single" w:sz="12" w:space="0" w:color="0070C0"/>
              <w:bottom w:val="single" w:sz="4" w:space="0" w:color="0070C0"/>
              <w:right w:val="single" w:sz="12" w:space="0" w:color="0070C0"/>
            </w:tcBorders>
            <w:shd w:val="clear" w:color="auto" w:fill="auto"/>
            <w:vAlign w:val="center"/>
            <w:hideMark/>
          </w:tcPr>
          <w:p w14:paraId="76866675" w14:textId="77777777" w:rsidR="00AE5C3C" w:rsidRPr="005B346D"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Commerçants généralistes et semi-généralistes</w:t>
            </w:r>
          </w:p>
        </w:tc>
        <w:tc>
          <w:tcPr>
            <w:tcW w:w="6662" w:type="dxa"/>
            <w:tcBorders>
              <w:top w:val="single" w:sz="12" w:space="0" w:color="0070C0"/>
              <w:left w:val="nil"/>
              <w:bottom w:val="single" w:sz="4" w:space="0" w:color="0070C0"/>
              <w:right w:val="single" w:sz="12" w:space="0" w:color="0070C0"/>
            </w:tcBorders>
            <w:shd w:val="clear" w:color="auto" w:fill="auto"/>
            <w:vAlign w:val="center"/>
          </w:tcPr>
          <w:p w14:paraId="1D158613" w14:textId="459CD5F0" w:rsidR="00AE5C3C" w:rsidRPr="005B346D" w:rsidRDefault="00AE5C3C" w:rsidP="007E4607">
            <w:pPr>
              <w:spacing w:after="0" w:line="240" w:lineRule="auto"/>
              <w:jc w:val="both"/>
              <w:rPr>
                <w:rFonts w:ascii="Calibri" w:eastAsia="Times New Roman" w:hAnsi="Calibri" w:cs="Times New Roman"/>
                <w:color w:val="000000"/>
                <w:lang w:eastAsia="fr-FR"/>
              </w:rPr>
            </w:pPr>
            <w:r w:rsidRPr="00AE5C3C">
              <w:t xml:space="preserve">3suisses.fr, </w:t>
            </w:r>
            <w:r w:rsidR="00FF57F7">
              <w:t xml:space="preserve">amazon.fr, </w:t>
            </w:r>
            <w:r w:rsidRPr="00AE5C3C">
              <w:t>auchan.fr, cdiscount.com, laredoute.fr, m6boutique.com, mistergooddeal.com, quelle.fr, vente-privee.com, vertbaudet.fr</w:t>
            </w:r>
          </w:p>
        </w:tc>
      </w:tr>
      <w:tr w:rsidR="00AE5C3C" w:rsidRPr="005B346D" w14:paraId="7B88B7D3"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75098E21" w14:textId="77777777" w:rsidR="00AE5C3C"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Produits techniques et culturels (livre, dvd, informatique, hi-fi, photo, électroménager…)</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0A9E7204" w14:textId="1474B7CE" w:rsidR="00AE5C3C" w:rsidRPr="005B346D" w:rsidRDefault="00AE5C3C" w:rsidP="00FF57F7">
            <w:pPr>
              <w:spacing w:after="0" w:line="240" w:lineRule="auto"/>
              <w:jc w:val="both"/>
              <w:rPr>
                <w:rFonts w:ascii="Calibri" w:eastAsia="Times New Roman" w:hAnsi="Calibri" w:cs="Times New Roman"/>
                <w:color w:val="000000"/>
                <w:lang w:eastAsia="fr-FR"/>
              </w:rPr>
            </w:pPr>
            <w:r w:rsidRPr="00AE5C3C">
              <w:rPr>
                <w:rFonts w:cstheme="minorHAnsi"/>
                <w:color w:val="000000"/>
              </w:rPr>
              <w:t>alapage.com, , darty.com, fnac.com, franceloisirs.com, ldlc.com, pixmania.com, rueducommerce.fr, topachat.com</w:t>
            </w:r>
          </w:p>
        </w:tc>
      </w:tr>
      <w:tr w:rsidR="00AE5C3C" w14:paraId="2486406D"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7011895" w14:textId="77777777" w:rsidR="00AE5C3C"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Voyage, transport</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1018DA95" w14:textId="77777777" w:rsidR="00AE5C3C" w:rsidRDefault="00AE5C3C" w:rsidP="007E4607">
            <w:pPr>
              <w:spacing w:after="0" w:line="240" w:lineRule="auto"/>
              <w:jc w:val="both"/>
              <w:rPr>
                <w:rFonts w:ascii="Calibri" w:eastAsia="Times New Roman" w:hAnsi="Calibri" w:cs="Times New Roman"/>
                <w:color w:val="000000"/>
                <w:lang w:eastAsia="fr-FR"/>
              </w:rPr>
            </w:pPr>
            <w:r w:rsidRPr="00AE5C3C">
              <w:rPr>
                <w:rFonts w:cstheme="minorHAnsi"/>
                <w:color w:val="000000"/>
              </w:rPr>
              <w:t>accorhotels.com, airfrance.fr, anyway.com, avis.fr, expedia.fr, nouvelles-frontieres.fr, opodo.fr, vivacances.fr, voyagesloisirs.com, voyages-sncf.com</w:t>
            </w:r>
            <w:r w:rsidRPr="005A36C1">
              <w:rPr>
                <w:rFonts w:cstheme="minorHAnsi"/>
                <w:color w:val="000000"/>
              </w:rPr>
              <w:t>.</w:t>
            </w:r>
          </w:p>
        </w:tc>
      </w:tr>
      <w:tr w:rsidR="00AE5C3C" w:rsidRPr="00E41C7B" w14:paraId="54AEF614"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D625536" w14:textId="77777777" w:rsidR="00AE5C3C"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Téléphonie et communication</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506BDA9F" w14:textId="62300252" w:rsidR="00AE5C3C" w:rsidRPr="00FF57F7" w:rsidRDefault="00AE5C3C">
            <w:pPr>
              <w:spacing w:after="0" w:line="240" w:lineRule="auto"/>
              <w:jc w:val="both"/>
              <w:rPr>
                <w:rFonts w:cstheme="minorHAnsi"/>
                <w:color w:val="000000"/>
                <w:lang w:val="en-GB"/>
              </w:rPr>
            </w:pPr>
            <w:r w:rsidRPr="00FF57F7">
              <w:rPr>
                <w:rFonts w:cstheme="minorHAnsi"/>
                <w:color w:val="000000"/>
                <w:lang w:val="en-GB"/>
              </w:rPr>
              <w:t>bouyguestelecom.fr, free.fr, orange.fr, sfr.fr</w:t>
            </w:r>
          </w:p>
        </w:tc>
      </w:tr>
      <w:tr w:rsidR="00AE5C3C" w:rsidRPr="00E41C7B" w14:paraId="7DA3E66F"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572341D1" w14:textId="77777777" w:rsidR="00AE5C3C"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Alimentation</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7EA0E5FC" w14:textId="77777777" w:rsidR="00AE5C3C" w:rsidRPr="00AE5C3C" w:rsidRDefault="00AE5C3C" w:rsidP="007E4607">
            <w:pPr>
              <w:spacing w:after="0" w:line="240" w:lineRule="auto"/>
              <w:jc w:val="both"/>
              <w:rPr>
                <w:rFonts w:cstheme="minorHAnsi"/>
                <w:color w:val="000000"/>
                <w:lang w:val="en-US"/>
              </w:rPr>
            </w:pPr>
            <w:r w:rsidRPr="00AE5C3C">
              <w:rPr>
                <w:rFonts w:cstheme="minorHAnsi"/>
                <w:color w:val="000000"/>
                <w:lang w:val="en-US"/>
              </w:rPr>
              <w:t>auchandirect.fr, houra.fr, ooshop.com, monoprix.com, telemarket.fr</w:t>
            </w:r>
          </w:p>
        </w:tc>
      </w:tr>
      <w:tr w:rsidR="00AE5C3C" w:rsidRPr="00E41C7B" w14:paraId="25EA0C7F"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3CC3420" w14:textId="77777777" w:rsidR="00AE5C3C" w:rsidRPr="00AE5C3C"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Équipement de la maison, ameublement, bricolage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1BF87696" w14:textId="77777777" w:rsidR="00AE5C3C" w:rsidRPr="00AE5C3C" w:rsidRDefault="00AE5C3C" w:rsidP="007E4607">
            <w:pPr>
              <w:spacing w:after="0" w:line="240" w:lineRule="auto"/>
              <w:jc w:val="both"/>
              <w:rPr>
                <w:rFonts w:cstheme="minorHAnsi"/>
                <w:color w:val="000000"/>
                <w:lang w:val="en-US"/>
              </w:rPr>
            </w:pPr>
            <w:r w:rsidRPr="00AE5C3C">
              <w:rPr>
                <w:rFonts w:cstheme="minorHAnsi"/>
                <w:color w:val="000000"/>
                <w:lang w:val="en-US"/>
              </w:rPr>
              <w:t>but.fr, castorama.fr, conforama.fr, ikea.fr, leroymerlin.fr</w:t>
            </w:r>
          </w:p>
        </w:tc>
      </w:tr>
      <w:tr w:rsidR="00AE5C3C" w:rsidRPr="00AE5C3C" w14:paraId="019768DE"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EEE19DD" w14:textId="77777777" w:rsidR="00AE5C3C" w:rsidRPr="00AE5C3C" w:rsidRDefault="00AE5C3C" w:rsidP="007E4607">
            <w:pPr>
              <w:spacing w:after="0" w:line="240" w:lineRule="auto"/>
              <w:jc w:val="center"/>
              <w:rPr>
                <w:rFonts w:ascii="Calibri" w:eastAsia="Times New Roman" w:hAnsi="Calibri" w:cs="Times New Roman"/>
                <w:color w:val="0070C0"/>
                <w:lang w:val="en-US" w:eastAsia="fr-FR"/>
              </w:rPr>
            </w:pPr>
            <w:r w:rsidRPr="00AE5C3C">
              <w:rPr>
                <w:rFonts w:ascii="Calibri" w:eastAsia="Times New Roman" w:hAnsi="Calibri" w:cs="Times New Roman"/>
                <w:color w:val="0070C0"/>
                <w:lang w:val="en-US" w:eastAsia="fr-FR"/>
              </w:rPr>
              <w:t>Assurance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2F62EFD4" w14:textId="77777777" w:rsidR="00AE5C3C" w:rsidRPr="00AE5C3C" w:rsidRDefault="00AE5C3C" w:rsidP="007E4607">
            <w:pPr>
              <w:spacing w:after="0" w:line="240" w:lineRule="auto"/>
              <w:jc w:val="both"/>
              <w:rPr>
                <w:rFonts w:cstheme="minorHAnsi"/>
                <w:color w:val="000000"/>
                <w:lang w:val="en-US"/>
              </w:rPr>
            </w:pPr>
            <w:r w:rsidRPr="00AE5C3C">
              <w:rPr>
                <w:rFonts w:cstheme="minorHAnsi"/>
                <w:color w:val="000000"/>
                <w:lang w:val="en-US"/>
              </w:rPr>
              <w:t>europ-assistance.fr, mondial-assistance.fr</w:t>
            </w:r>
          </w:p>
        </w:tc>
      </w:tr>
      <w:tr w:rsidR="00AE5C3C" w:rsidRPr="00AE5C3C" w14:paraId="3ED1000C"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89EBFC0" w14:textId="77777777" w:rsidR="00AE5C3C" w:rsidRPr="00AE5C3C" w:rsidRDefault="00AE5C3C" w:rsidP="007E4607">
            <w:pPr>
              <w:spacing w:after="0" w:line="240" w:lineRule="auto"/>
              <w:jc w:val="center"/>
              <w:rPr>
                <w:rFonts w:ascii="Calibri" w:eastAsia="Times New Roman" w:hAnsi="Calibri" w:cs="Times New Roman"/>
                <w:color w:val="0070C0"/>
                <w:lang w:val="en-US" w:eastAsia="fr-FR"/>
              </w:rPr>
            </w:pPr>
            <w:r w:rsidRPr="00AE5C3C">
              <w:rPr>
                <w:rFonts w:ascii="Calibri" w:eastAsia="Times New Roman" w:hAnsi="Calibri" w:cs="Times New Roman"/>
                <w:color w:val="0070C0"/>
                <w:lang w:val="en-US" w:eastAsia="fr-FR"/>
              </w:rPr>
              <w:t>Santé, Beauté, Hygiène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6D2EFDF1" w14:textId="77777777" w:rsidR="00AE5C3C" w:rsidRPr="00AE5C3C" w:rsidRDefault="00AE5C3C" w:rsidP="007E4607">
            <w:pPr>
              <w:spacing w:after="0" w:line="240" w:lineRule="auto"/>
              <w:jc w:val="both"/>
              <w:rPr>
                <w:rFonts w:cstheme="minorHAnsi"/>
                <w:color w:val="000000"/>
              </w:rPr>
            </w:pPr>
            <w:r w:rsidRPr="00AE5C3C">
              <w:rPr>
                <w:rFonts w:cstheme="minorHAnsi"/>
                <w:color w:val="000000"/>
              </w:rPr>
              <w:t>ccbparis.fr, sephora.fr, yves-rocher.fr</w:t>
            </w:r>
          </w:p>
        </w:tc>
      </w:tr>
      <w:tr w:rsidR="00AE5C3C" w:rsidRPr="00AE5C3C" w14:paraId="4A915051"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72FBA765" w14:textId="77777777" w:rsidR="00AE5C3C" w:rsidRPr="00AE5C3C"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Approvisionnement d’un compte, vente de particulier à particulier</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3B51C221" w14:textId="5CBC1B8C" w:rsidR="00AE5C3C" w:rsidRPr="00AE5C3C" w:rsidRDefault="00AE5C3C" w:rsidP="00FF57F7">
            <w:pPr>
              <w:spacing w:after="0" w:line="240" w:lineRule="auto"/>
              <w:jc w:val="both"/>
              <w:rPr>
                <w:rFonts w:cstheme="minorHAnsi"/>
                <w:color w:val="000000"/>
              </w:rPr>
            </w:pPr>
            <w:r w:rsidRPr="00AE5C3C">
              <w:rPr>
                <w:rFonts w:cstheme="minorHAnsi"/>
                <w:color w:val="000000"/>
              </w:rPr>
              <w:t xml:space="preserve">ebay.fr, </w:t>
            </w:r>
            <w:r w:rsidR="00FF57F7">
              <w:rPr>
                <w:rFonts w:cstheme="minorHAnsi"/>
                <w:color w:val="000000"/>
              </w:rPr>
              <w:t>rakuten.com</w:t>
            </w:r>
          </w:p>
        </w:tc>
      </w:tr>
      <w:tr w:rsidR="00AE5C3C" w:rsidRPr="00AE5C3C" w14:paraId="15091522"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3C31595" w14:textId="77777777" w:rsidR="00AE5C3C" w:rsidRPr="00AE5C3C" w:rsidRDefault="00AE5C3C" w:rsidP="007E4607">
            <w:pPr>
              <w:spacing w:after="0" w:line="240" w:lineRule="auto"/>
              <w:jc w:val="center"/>
              <w:rPr>
                <w:rFonts w:ascii="Calibri" w:eastAsia="Times New Roman" w:hAnsi="Calibri" w:cs="Times New Roman"/>
                <w:color w:val="0070C0"/>
                <w:lang w:eastAsia="fr-FR"/>
              </w:rPr>
            </w:pPr>
            <w:r w:rsidRPr="00AE5C3C">
              <w:rPr>
                <w:rFonts w:ascii="Calibri" w:eastAsia="Times New Roman" w:hAnsi="Calibri" w:cs="Times New Roman"/>
                <w:color w:val="0070C0"/>
                <w:lang w:eastAsia="fr-FR"/>
              </w:rPr>
              <w:t>Services aux particuliers et aux professionnels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2E1FCD05" w14:textId="77777777" w:rsidR="00AE5C3C" w:rsidRPr="00AE5C3C" w:rsidRDefault="00AE5C3C" w:rsidP="007E4607">
            <w:pPr>
              <w:spacing w:after="0" w:line="240" w:lineRule="auto"/>
              <w:jc w:val="both"/>
              <w:rPr>
                <w:rFonts w:cstheme="minorHAnsi"/>
                <w:color w:val="000000"/>
              </w:rPr>
            </w:pPr>
            <w:r w:rsidRPr="00AE5C3C">
              <w:rPr>
                <w:rFonts w:cstheme="minorHAnsi"/>
                <w:color w:val="000000"/>
              </w:rPr>
              <w:t>store.apple.com, ticketnet.fr, ipsopresto.com, jm bruneau.fr, jpg.fr, ldlc pro.com, manutan.fr, officedepot.fr, raja.fr, vikingdirect.fr, welcomeoffice.com</w:t>
            </w:r>
          </w:p>
        </w:tc>
      </w:tr>
      <w:tr w:rsidR="00AE5C3C" w:rsidRPr="00AE5C3C" w14:paraId="033C2F94"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87C6470" w14:textId="2C811D86" w:rsidR="00AE5C3C" w:rsidRPr="00AE5C3C" w:rsidRDefault="00AE5C3C" w:rsidP="007E4607">
            <w:pPr>
              <w:spacing w:after="0" w:line="240" w:lineRule="auto"/>
              <w:jc w:val="center"/>
              <w:rPr>
                <w:rFonts w:ascii="Calibri" w:eastAsia="Times New Roman" w:hAnsi="Calibri" w:cs="Times New Roman"/>
                <w:color w:val="0070C0"/>
                <w:lang w:eastAsia="fr-FR"/>
              </w:rPr>
            </w:pPr>
            <w:r>
              <w:rPr>
                <w:rFonts w:ascii="Calibri" w:eastAsia="Times New Roman" w:hAnsi="Calibri" w:cs="Times New Roman"/>
                <w:color w:val="0070C0"/>
                <w:lang w:eastAsia="fr-FR"/>
              </w:rPr>
              <w:t>Jeu</w:t>
            </w:r>
            <w:r w:rsidR="00FF57F7">
              <w:rPr>
                <w:rFonts w:ascii="Calibri" w:eastAsia="Times New Roman" w:hAnsi="Calibri" w:cs="Times New Roman"/>
                <w:color w:val="0070C0"/>
                <w:lang w:eastAsia="fr-FR"/>
              </w:rPr>
              <w:t>x</w:t>
            </w:r>
            <w:r>
              <w:rPr>
                <w:rFonts w:ascii="Calibri" w:eastAsia="Times New Roman" w:hAnsi="Calibri" w:cs="Times New Roman"/>
                <w:color w:val="0070C0"/>
                <w:lang w:eastAsia="fr-FR"/>
              </w:rPr>
              <w:t xml:space="preserve"> en ligne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7725E12B" w14:textId="77777777" w:rsidR="00AE5C3C" w:rsidRPr="00AE5C3C" w:rsidRDefault="00AE5C3C" w:rsidP="007E4607">
            <w:pPr>
              <w:spacing w:after="0" w:line="240" w:lineRule="auto"/>
              <w:jc w:val="both"/>
              <w:rPr>
                <w:rFonts w:cstheme="minorHAnsi"/>
                <w:color w:val="000000"/>
              </w:rPr>
            </w:pPr>
            <w:r w:rsidRPr="00AE5C3C">
              <w:rPr>
                <w:rFonts w:cstheme="minorHAnsi"/>
                <w:color w:val="000000"/>
              </w:rPr>
              <w:t>fdjeux.com, pmu.fr, betclic.fr</w:t>
            </w:r>
          </w:p>
        </w:tc>
      </w:tr>
    </w:tbl>
    <w:p w14:paraId="36F9E51B" w14:textId="0A3F94BE" w:rsidR="00AE5C3C" w:rsidRDefault="00AE5C3C" w:rsidP="0054268E"/>
    <w:p w14:paraId="4439E93B" w14:textId="6F6F09A9" w:rsidR="00BB6743" w:rsidRDefault="00BB6743" w:rsidP="0054268E">
      <w:r>
        <w:t xml:space="preserve">Afin de faciliter le classement des commerçants dans ces catégories, vous pouvez vous référer à la liste des </w:t>
      </w:r>
      <w:r w:rsidR="0075281C">
        <w:t xml:space="preserve">« Merchant Category Code » (MCC) </w:t>
      </w:r>
      <w:r>
        <w:t>suivante :</w:t>
      </w:r>
    </w:p>
    <w:p w14:paraId="2BD71A53" w14:textId="30B01069" w:rsidR="007E4607" w:rsidRDefault="00CB1D23" w:rsidP="007A2509">
      <w:pPr>
        <w:jc w:val="center"/>
      </w:pPr>
      <w:r w:rsidRPr="007A2509">
        <w:object w:dxaOrig="1533" w:dyaOrig="990" w14:anchorId="53BE2185">
          <v:shape id="_x0000_i1026" type="#_x0000_t75" style="width:76.2pt;height:49.2pt" o:ole="">
            <v:imagedata r:id="rId16" o:title=""/>
          </v:shape>
          <o:OLEObject Type="Embed" ProgID="Excel.Sheet.12" ShapeID="_x0000_i1026" DrawAspect="Icon" ObjectID="_1751715023" r:id="rId17"/>
        </w:object>
      </w:r>
    </w:p>
    <w:p w14:paraId="7619A0A4" w14:textId="77777777" w:rsidR="007E4607" w:rsidRDefault="007E4607" w:rsidP="0054268E"/>
    <w:p w14:paraId="661ADD6C" w14:textId="77777777" w:rsidR="009E25B4" w:rsidRDefault="009E25B4">
      <w:r>
        <w:br w:type="page"/>
      </w:r>
    </w:p>
    <w:p w14:paraId="2FAD5346" w14:textId="0F066DEB" w:rsidR="00E317AA" w:rsidRDefault="008E39B3" w:rsidP="007E4607">
      <w:pPr>
        <w:rPr>
          <w:rFonts w:ascii="Cambria,Bold" w:hAnsi="Cambria,Bold" w:cs="Cambria,Bold"/>
          <w:b/>
          <w:bCs/>
          <w:color w:val="548DD4" w:themeColor="text2" w:themeTint="99"/>
          <w:sz w:val="24"/>
          <w:szCs w:val="24"/>
        </w:rPr>
      </w:pPr>
      <w:r>
        <w:rPr>
          <w:rFonts w:ascii="Cambria,Bold" w:hAnsi="Cambria,Bold" w:cs="Cambria,Bold"/>
          <w:b/>
          <w:bCs/>
          <w:color w:val="548DD4" w:themeColor="text2" w:themeTint="99"/>
          <w:sz w:val="24"/>
          <w:szCs w:val="24"/>
        </w:rPr>
        <w:lastRenderedPageBreak/>
        <w:t>5. Annexes</w:t>
      </w:r>
    </w:p>
    <w:p w14:paraId="27607282" w14:textId="77777777" w:rsidR="002E173C" w:rsidRDefault="002E173C">
      <w:pPr>
        <w:rPr>
          <w:rFonts w:ascii="Cambria,Bold" w:hAnsi="Cambria,Bold" w:cs="Cambria,Bold"/>
          <w:b/>
          <w:bCs/>
          <w:color w:val="548DD4" w:themeColor="text2" w:themeTint="99"/>
          <w:sz w:val="24"/>
          <w:szCs w:val="24"/>
          <w:u w:val="single"/>
        </w:rPr>
      </w:pPr>
      <w:r w:rsidRPr="002E173C">
        <w:rPr>
          <w:rFonts w:ascii="Cambria,Bold" w:hAnsi="Cambria,Bold" w:cs="Cambria,Bold"/>
          <w:b/>
          <w:bCs/>
          <w:color w:val="548DD4" w:themeColor="text2" w:themeTint="99"/>
          <w:sz w:val="24"/>
          <w:szCs w:val="24"/>
          <w:u w:val="single"/>
        </w:rPr>
        <w:t>Glossaire</w:t>
      </w:r>
    </w:p>
    <w:tbl>
      <w:tblPr>
        <w:tblW w:w="9102" w:type="dxa"/>
        <w:tblInd w:w="55" w:type="dxa"/>
        <w:tblCellMar>
          <w:left w:w="70" w:type="dxa"/>
          <w:right w:w="70" w:type="dxa"/>
        </w:tblCellMar>
        <w:tblLook w:val="04A0" w:firstRow="1" w:lastRow="0" w:firstColumn="1" w:lastColumn="0" w:noHBand="0" w:noVBand="1"/>
      </w:tblPr>
      <w:tblGrid>
        <w:gridCol w:w="250"/>
        <w:gridCol w:w="8852"/>
      </w:tblGrid>
      <w:tr w:rsidR="002E173C" w:rsidRPr="002E173C" w14:paraId="46C76B1D" w14:textId="77777777" w:rsidTr="00B72BD1">
        <w:trPr>
          <w:trHeight w:val="238"/>
        </w:trPr>
        <w:tc>
          <w:tcPr>
            <w:tcW w:w="250" w:type="dxa"/>
            <w:tcBorders>
              <w:top w:val="nil"/>
              <w:left w:val="nil"/>
              <w:bottom w:val="single" w:sz="8" w:space="0" w:color="auto"/>
              <w:right w:val="nil"/>
            </w:tcBorders>
            <w:shd w:val="clear" w:color="auto" w:fill="auto"/>
            <w:noWrap/>
            <w:vAlign w:val="bottom"/>
            <w:hideMark/>
          </w:tcPr>
          <w:p w14:paraId="3A15A30B" w14:textId="77777777" w:rsidR="002E173C" w:rsidRPr="002E173C" w:rsidRDefault="002E173C" w:rsidP="002E173C">
            <w:pPr>
              <w:spacing w:after="0" w:line="240" w:lineRule="auto"/>
              <w:rPr>
                <w:rFonts w:eastAsia="Times New Roman" w:cs="Arial"/>
                <w:sz w:val="20"/>
                <w:szCs w:val="20"/>
                <w:lang w:eastAsia="fr-FR"/>
              </w:rPr>
            </w:pPr>
            <w:r w:rsidRPr="002E173C">
              <w:rPr>
                <w:rFonts w:eastAsia="Times New Roman" w:cs="Arial"/>
                <w:sz w:val="20"/>
                <w:szCs w:val="20"/>
                <w:lang w:eastAsia="fr-FR"/>
              </w:rPr>
              <w:t> </w:t>
            </w:r>
          </w:p>
        </w:tc>
        <w:tc>
          <w:tcPr>
            <w:tcW w:w="8852" w:type="dxa"/>
            <w:tcBorders>
              <w:top w:val="nil"/>
              <w:left w:val="nil"/>
              <w:bottom w:val="single" w:sz="8" w:space="0" w:color="auto"/>
              <w:right w:val="nil"/>
            </w:tcBorders>
            <w:shd w:val="clear" w:color="auto" w:fill="auto"/>
            <w:noWrap/>
            <w:vAlign w:val="center"/>
            <w:hideMark/>
          </w:tcPr>
          <w:p w14:paraId="6B1CB137" w14:textId="77777777" w:rsidR="002E173C" w:rsidRPr="002E173C" w:rsidRDefault="002E173C" w:rsidP="002E173C">
            <w:pPr>
              <w:spacing w:after="0" w:line="240" w:lineRule="auto"/>
              <w:jc w:val="both"/>
              <w:rPr>
                <w:rFonts w:eastAsia="Times New Roman" w:cs="Arial"/>
                <w:b/>
                <w:bCs/>
                <w:sz w:val="20"/>
                <w:szCs w:val="20"/>
                <w:lang w:eastAsia="fr-FR"/>
              </w:rPr>
            </w:pPr>
            <w:r w:rsidRPr="002E173C">
              <w:rPr>
                <w:rFonts w:eastAsia="Times New Roman" w:cs="Arial"/>
                <w:b/>
                <w:bCs/>
                <w:sz w:val="20"/>
                <w:szCs w:val="20"/>
                <w:lang w:eastAsia="fr-FR"/>
              </w:rPr>
              <w:t>&gt; Accepteur</w:t>
            </w:r>
          </w:p>
        </w:tc>
      </w:tr>
      <w:tr w:rsidR="002E173C" w:rsidRPr="002E173C" w14:paraId="733CFEC6" w14:textId="77777777" w:rsidTr="002E173C">
        <w:trPr>
          <w:trHeight w:val="1200"/>
        </w:trPr>
        <w:tc>
          <w:tcPr>
            <w:tcW w:w="250" w:type="dxa"/>
            <w:tcBorders>
              <w:top w:val="nil"/>
              <w:left w:val="nil"/>
              <w:bottom w:val="nil"/>
              <w:right w:val="nil"/>
            </w:tcBorders>
            <w:shd w:val="clear" w:color="auto" w:fill="auto"/>
            <w:noWrap/>
            <w:vAlign w:val="bottom"/>
            <w:hideMark/>
          </w:tcPr>
          <w:p w14:paraId="6B65132C"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1F9D5E72" w14:textId="77777777" w:rsidR="002E173C" w:rsidRPr="002E173C" w:rsidRDefault="002E173C" w:rsidP="002E173C">
            <w:pPr>
              <w:spacing w:after="0" w:line="240" w:lineRule="auto"/>
              <w:jc w:val="both"/>
              <w:rPr>
                <w:rFonts w:eastAsia="Times New Roman" w:cs="Arial"/>
                <w:sz w:val="20"/>
                <w:szCs w:val="20"/>
                <w:lang w:eastAsia="fr-FR"/>
              </w:rPr>
            </w:pPr>
            <w:r w:rsidRPr="002E173C">
              <w:rPr>
                <w:rFonts w:eastAsia="Times New Roman" w:cs="Arial"/>
                <w:sz w:val="20"/>
                <w:szCs w:val="20"/>
                <w:lang w:eastAsia="fr-FR"/>
              </w:rPr>
              <w:t>Tout commerçant, tout prestataire de services et, d'une manière générale, toute personne morale ou physique de droit privé ou public recevant des fonds en paiement par carte, et ayant signé, à cette fin, un contrat d'acceptation avec sa banque ou avec l’organisme de gestion de cartes.</w:t>
            </w:r>
          </w:p>
        </w:tc>
      </w:tr>
      <w:tr w:rsidR="002E173C" w:rsidRPr="002E173C" w14:paraId="022430C9" w14:textId="77777777" w:rsidTr="002E173C">
        <w:trPr>
          <w:trHeight w:val="420"/>
        </w:trPr>
        <w:tc>
          <w:tcPr>
            <w:tcW w:w="250" w:type="dxa"/>
            <w:tcBorders>
              <w:top w:val="nil"/>
              <w:left w:val="nil"/>
              <w:bottom w:val="single" w:sz="8" w:space="0" w:color="auto"/>
              <w:right w:val="nil"/>
            </w:tcBorders>
            <w:shd w:val="clear" w:color="auto" w:fill="auto"/>
            <w:noWrap/>
            <w:vAlign w:val="bottom"/>
            <w:hideMark/>
          </w:tcPr>
          <w:p w14:paraId="0606D716" w14:textId="77777777" w:rsidR="002E173C" w:rsidRPr="002E173C" w:rsidRDefault="002E173C" w:rsidP="002E173C">
            <w:pPr>
              <w:spacing w:after="0" w:line="240" w:lineRule="auto"/>
              <w:rPr>
                <w:rFonts w:eastAsia="Times New Roman" w:cs="Arial"/>
                <w:sz w:val="20"/>
                <w:szCs w:val="20"/>
                <w:lang w:eastAsia="fr-FR"/>
              </w:rPr>
            </w:pPr>
            <w:r w:rsidRPr="002E173C">
              <w:rPr>
                <w:rFonts w:eastAsia="Times New Roman" w:cs="Arial"/>
                <w:sz w:val="20"/>
                <w:szCs w:val="20"/>
                <w:lang w:eastAsia="fr-FR"/>
              </w:rPr>
              <w:t> </w:t>
            </w:r>
          </w:p>
        </w:tc>
        <w:tc>
          <w:tcPr>
            <w:tcW w:w="8852" w:type="dxa"/>
            <w:tcBorders>
              <w:top w:val="nil"/>
              <w:left w:val="nil"/>
              <w:bottom w:val="single" w:sz="8" w:space="0" w:color="auto"/>
              <w:right w:val="nil"/>
            </w:tcBorders>
            <w:shd w:val="clear" w:color="auto" w:fill="auto"/>
            <w:noWrap/>
            <w:vAlign w:val="center"/>
            <w:hideMark/>
          </w:tcPr>
          <w:p w14:paraId="4F7622DC" w14:textId="77777777" w:rsidR="002E173C" w:rsidRPr="002E173C" w:rsidRDefault="002E173C" w:rsidP="002E173C">
            <w:pPr>
              <w:spacing w:after="0" w:line="240" w:lineRule="auto"/>
              <w:jc w:val="both"/>
              <w:rPr>
                <w:rFonts w:eastAsia="Times New Roman" w:cs="Arial"/>
                <w:b/>
                <w:bCs/>
                <w:sz w:val="20"/>
                <w:szCs w:val="20"/>
                <w:lang w:eastAsia="fr-FR"/>
              </w:rPr>
            </w:pPr>
            <w:r w:rsidRPr="002E173C">
              <w:rPr>
                <w:rFonts w:eastAsia="Times New Roman" w:cs="Arial"/>
                <w:b/>
                <w:bCs/>
                <w:sz w:val="20"/>
                <w:szCs w:val="20"/>
                <w:lang w:eastAsia="fr-FR"/>
              </w:rPr>
              <w:t>&gt; Acquéreur</w:t>
            </w:r>
          </w:p>
        </w:tc>
      </w:tr>
      <w:tr w:rsidR="002E173C" w:rsidRPr="002E173C" w14:paraId="35C482FF" w14:textId="77777777" w:rsidTr="002E173C">
        <w:trPr>
          <w:trHeight w:val="1530"/>
        </w:trPr>
        <w:tc>
          <w:tcPr>
            <w:tcW w:w="250" w:type="dxa"/>
            <w:tcBorders>
              <w:top w:val="nil"/>
              <w:left w:val="nil"/>
              <w:bottom w:val="nil"/>
              <w:right w:val="nil"/>
            </w:tcBorders>
            <w:shd w:val="clear" w:color="auto" w:fill="auto"/>
            <w:noWrap/>
            <w:vAlign w:val="bottom"/>
            <w:hideMark/>
          </w:tcPr>
          <w:p w14:paraId="417040D9"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0A7496A9" w14:textId="35526018" w:rsidR="002E173C" w:rsidRPr="002E173C" w:rsidRDefault="002E173C" w:rsidP="002E173C">
            <w:pPr>
              <w:spacing w:after="0" w:line="240" w:lineRule="auto"/>
              <w:jc w:val="both"/>
              <w:rPr>
                <w:rFonts w:eastAsia="Times New Roman" w:cs="Arial"/>
                <w:sz w:val="20"/>
                <w:szCs w:val="20"/>
                <w:lang w:eastAsia="fr-FR"/>
              </w:rPr>
            </w:pPr>
            <w:r w:rsidRPr="002E173C">
              <w:rPr>
                <w:rFonts w:eastAsia="Times New Roman" w:cs="Arial"/>
                <w:sz w:val="20"/>
                <w:szCs w:val="20"/>
                <w:lang w:eastAsia="fr-FR"/>
              </w:rPr>
              <w:t xml:space="preserve">Établissement de crédit, institution ou service mentionné à l’article L. 518-1 du code monétaire et financier, lié à l’accepteur par un contrat et qui acquiert les données relatives aux transactions effectuées. L'acquéreur est notamment responsable de la collecte des transactions et du règlement des accepteurs, dans les limites des </w:t>
            </w:r>
            <w:r w:rsidRPr="008E39B3">
              <w:rPr>
                <w:rFonts w:eastAsia="Times New Roman" w:cs="Arial"/>
                <w:sz w:val="20"/>
                <w:szCs w:val="20"/>
                <w:lang w:eastAsia="fr-FR"/>
              </w:rPr>
              <w:t>contrats</w:t>
            </w:r>
            <w:r w:rsidRPr="002E173C">
              <w:rPr>
                <w:rFonts w:eastAsia="Times New Roman" w:cs="Arial"/>
                <w:sz w:val="20"/>
                <w:szCs w:val="20"/>
                <w:lang w:eastAsia="fr-FR"/>
              </w:rPr>
              <w:t xml:space="preserve"> en vigueur.</w:t>
            </w:r>
          </w:p>
        </w:tc>
      </w:tr>
      <w:tr w:rsidR="002E173C" w:rsidRPr="002E173C" w14:paraId="102B36E4" w14:textId="77777777" w:rsidTr="002E173C">
        <w:trPr>
          <w:trHeight w:val="420"/>
        </w:trPr>
        <w:tc>
          <w:tcPr>
            <w:tcW w:w="250" w:type="dxa"/>
            <w:tcBorders>
              <w:top w:val="nil"/>
              <w:left w:val="nil"/>
              <w:bottom w:val="single" w:sz="8" w:space="0" w:color="auto"/>
              <w:right w:val="nil"/>
            </w:tcBorders>
            <w:shd w:val="clear" w:color="auto" w:fill="auto"/>
            <w:noWrap/>
            <w:vAlign w:val="bottom"/>
            <w:hideMark/>
          </w:tcPr>
          <w:p w14:paraId="4EE253EB" w14:textId="77777777" w:rsidR="002E173C" w:rsidRPr="002E173C" w:rsidRDefault="002E173C" w:rsidP="002E173C">
            <w:pPr>
              <w:spacing w:after="0" w:line="240" w:lineRule="auto"/>
              <w:rPr>
                <w:rFonts w:eastAsia="Times New Roman" w:cs="Arial"/>
                <w:sz w:val="20"/>
                <w:szCs w:val="20"/>
                <w:lang w:eastAsia="fr-FR"/>
              </w:rPr>
            </w:pPr>
            <w:r w:rsidRPr="002E173C">
              <w:rPr>
                <w:rFonts w:eastAsia="Times New Roman" w:cs="Arial"/>
                <w:sz w:val="20"/>
                <w:szCs w:val="20"/>
                <w:lang w:eastAsia="fr-FR"/>
              </w:rPr>
              <w:t> </w:t>
            </w:r>
          </w:p>
        </w:tc>
        <w:tc>
          <w:tcPr>
            <w:tcW w:w="8852" w:type="dxa"/>
            <w:tcBorders>
              <w:top w:val="nil"/>
              <w:left w:val="nil"/>
              <w:bottom w:val="single" w:sz="8" w:space="0" w:color="auto"/>
              <w:right w:val="nil"/>
            </w:tcBorders>
            <w:shd w:val="clear" w:color="auto" w:fill="auto"/>
            <w:noWrap/>
            <w:vAlign w:val="center"/>
            <w:hideMark/>
          </w:tcPr>
          <w:p w14:paraId="5BBA2BB2" w14:textId="77777777" w:rsidR="002E173C" w:rsidRPr="002E173C" w:rsidRDefault="002E173C" w:rsidP="002E173C">
            <w:pPr>
              <w:spacing w:after="0" w:line="240" w:lineRule="auto"/>
              <w:jc w:val="both"/>
              <w:rPr>
                <w:rFonts w:eastAsia="Times New Roman" w:cs="Arial"/>
                <w:b/>
                <w:bCs/>
                <w:sz w:val="20"/>
                <w:szCs w:val="20"/>
                <w:lang w:eastAsia="fr-FR"/>
              </w:rPr>
            </w:pPr>
            <w:r w:rsidRPr="002E173C">
              <w:rPr>
                <w:rFonts w:eastAsia="Times New Roman" w:cs="Arial"/>
                <w:b/>
                <w:bCs/>
                <w:sz w:val="20"/>
                <w:szCs w:val="20"/>
                <w:lang w:eastAsia="fr-FR"/>
              </w:rPr>
              <w:t>&gt; Carte contrefaite</w:t>
            </w:r>
          </w:p>
        </w:tc>
      </w:tr>
      <w:tr w:rsidR="002E173C" w:rsidRPr="002E173C" w14:paraId="4ECD6E29" w14:textId="77777777" w:rsidTr="002E173C">
        <w:trPr>
          <w:trHeight w:val="690"/>
        </w:trPr>
        <w:tc>
          <w:tcPr>
            <w:tcW w:w="250" w:type="dxa"/>
            <w:tcBorders>
              <w:top w:val="nil"/>
              <w:left w:val="nil"/>
              <w:bottom w:val="nil"/>
              <w:right w:val="nil"/>
            </w:tcBorders>
            <w:shd w:val="clear" w:color="auto" w:fill="auto"/>
            <w:noWrap/>
            <w:vAlign w:val="bottom"/>
            <w:hideMark/>
          </w:tcPr>
          <w:p w14:paraId="64E57988"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527432CB" w14:textId="77777777" w:rsidR="002E173C" w:rsidRPr="002E173C" w:rsidRDefault="002E173C" w:rsidP="002E173C">
            <w:pPr>
              <w:spacing w:after="0" w:line="240" w:lineRule="auto"/>
              <w:jc w:val="both"/>
              <w:rPr>
                <w:rFonts w:eastAsia="Times New Roman" w:cs="Arial"/>
                <w:sz w:val="20"/>
                <w:szCs w:val="20"/>
                <w:lang w:eastAsia="fr-FR"/>
              </w:rPr>
            </w:pPr>
            <w:r w:rsidRPr="002E173C">
              <w:rPr>
                <w:rFonts w:eastAsia="Times New Roman" w:cs="Arial"/>
                <w:sz w:val="20"/>
                <w:szCs w:val="20"/>
                <w:lang w:eastAsia="fr-FR"/>
              </w:rPr>
              <w:t>En automate : carte supportant les données nécessaires à tromper le système.</w:t>
            </w:r>
          </w:p>
        </w:tc>
      </w:tr>
      <w:tr w:rsidR="002E173C" w:rsidRPr="002E173C" w14:paraId="6DC1C625" w14:textId="77777777" w:rsidTr="002E173C">
        <w:trPr>
          <w:trHeight w:val="900"/>
        </w:trPr>
        <w:tc>
          <w:tcPr>
            <w:tcW w:w="250" w:type="dxa"/>
            <w:tcBorders>
              <w:top w:val="nil"/>
              <w:left w:val="nil"/>
              <w:bottom w:val="nil"/>
              <w:right w:val="nil"/>
            </w:tcBorders>
            <w:shd w:val="clear" w:color="auto" w:fill="auto"/>
            <w:noWrap/>
            <w:vAlign w:val="bottom"/>
            <w:hideMark/>
          </w:tcPr>
          <w:p w14:paraId="3A08019F"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60330BB9" w14:textId="77777777" w:rsidR="002E173C" w:rsidRDefault="002E173C" w:rsidP="002E173C">
            <w:pPr>
              <w:spacing w:after="0" w:line="240" w:lineRule="auto"/>
              <w:jc w:val="both"/>
              <w:rPr>
                <w:rFonts w:eastAsia="Times New Roman" w:cs="Arial"/>
                <w:sz w:val="20"/>
                <w:szCs w:val="20"/>
                <w:lang w:eastAsia="fr-FR"/>
              </w:rPr>
            </w:pPr>
            <w:r w:rsidRPr="002E173C">
              <w:rPr>
                <w:rFonts w:eastAsia="Times New Roman" w:cs="Arial"/>
                <w:sz w:val="20"/>
                <w:szCs w:val="20"/>
                <w:lang w:eastAsia="fr-FR"/>
              </w:rPr>
              <w:t>En commerce de proximité : carte fabriquée présentant peu ou prou le visuel, dont les sécurités, d’une carte authentique, supportant les données d’une carte d’un véritable porteur et destinée à tromper la vigilance d’un accepteur.</w:t>
            </w:r>
          </w:p>
          <w:p w14:paraId="2155A5AE" w14:textId="77777777" w:rsidR="002E173C" w:rsidRPr="002E173C" w:rsidRDefault="002E173C" w:rsidP="002E173C">
            <w:pPr>
              <w:spacing w:after="0" w:line="240" w:lineRule="auto"/>
              <w:jc w:val="both"/>
              <w:rPr>
                <w:rFonts w:eastAsia="Times New Roman" w:cs="Arial"/>
                <w:sz w:val="20"/>
                <w:szCs w:val="20"/>
                <w:lang w:eastAsia="fr-FR"/>
              </w:rPr>
            </w:pPr>
          </w:p>
        </w:tc>
      </w:tr>
      <w:tr w:rsidR="006F107B" w:rsidRPr="002E173C" w14:paraId="7512A90A" w14:textId="77777777" w:rsidTr="00C27571">
        <w:trPr>
          <w:trHeight w:val="420"/>
        </w:trPr>
        <w:tc>
          <w:tcPr>
            <w:tcW w:w="250" w:type="dxa"/>
            <w:tcBorders>
              <w:left w:val="nil"/>
              <w:bottom w:val="single" w:sz="8" w:space="0" w:color="auto"/>
              <w:right w:val="nil"/>
            </w:tcBorders>
            <w:shd w:val="clear" w:color="auto" w:fill="auto"/>
            <w:noWrap/>
            <w:vAlign w:val="bottom"/>
          </w:tcPr>
          <w:p w14:paraId="3DDB73A6" w14:textId="32F52E2F" w:rsidR="006F107B" w:rsidRPr="00632894" w:rsidRDefault="006F107B" w:rsidP="00632894">
            <w:pPr>
              <w:spacing w:after="0" w:line="240" w:lineRule="auto"/>
              <w:rPr>
                <w:rFonts w:eastAsia="Times New Roman" w:cs="Arial"/>
                <w:sz w:val="20"/>
                <w:szCs w:val="20"/>
                <w:lang w:eastAsia="fr-FR"/>
              </w:rPr>
            </w:pPr>
            <w:r w:rsidRPr="002E173C">
              <w:rPr>
                <w:rFonts w:eastAsia="Times New Roman" w:cs="Arial"/>
                <w:sz w:val="20"/>
                <w:szCs w:val="20"/>
                <w:lang w:eastAsia="fr-FR"/>
              </w:rPr>
              <w:t> </w:t>
            </w:r>
          </w:p>
        </w:tc>
        <w:tc>
          <w:tcPr>
            <w:tcW w:w="8852" w:type="dxa"/>
            <w:tcBorders>
              <w:left w:val="nil"/>
              <w:bottom w:val="single" w:sz="8" w:space="0" w:color="auto"/>
              <w:right w:val="nil"/>
            </w:tcBorders>
            <w:shd w:val="clear" w:color="auto" w:fill="auto"/>
            <w:noWrap/>
            <w:vAlign w:val="center"/>
          </w:tcPr>
          <w:p w14:paraId="26F08B09" w14:textId="3C68584D" w:rsidR="006F107B" w:rsidRPr="00632894" w:rsidRDefault="006F107B" w:rsidP="00632894">
            <w:pPr>
              <w:spacing w:after="0" w:line="240" w:lineRule="auto"/>
              <w:jc w:val="both"/>
              <w:rPr>
                <w:rFonts w:eastAsia="Times New Roman" w:cs="Arial"/>
                <w:b/>
                <w:bCs/>
                <w:strike/>
                <w:sz w:val="20"/>
                <w:szCs w:val="20"/>
                <w:lang w:eastAsia="fr-FR"/>
              </w:rPr>
            </w:pPr>
            <w:r w:rsidRPr="002E173C">
              <w:rPr>
                <w:rFonts w:eastAsia="Times New Roman" w:cs="Arial"/>
                <w:b/>
                <w:bCs/>
                <w:sz w:val="20"/>
                <w:szCs w:val="20"/>
                <w:lang w:eastAsia="fr-FR"/>
              </w:rPr>
              <w:t>&gt; Carte de paiement</w:t>
            </w:r>
          </w:p>
        </w:tc>
      </w:tr>
      <w:tr w:rsidR="006F107B" w:rsidRPr="002E173C" w14:paraId="780199CC" w14:textId="77777777" w:rsidTr="00C27571">
        <w:trPr>
          <w:trHeight w:val="420"/>
        </w:trPr>
        <w:tc>
          <w:tcPr>
            <w:tcW w:w="250" w:type="dxa"/>
            <w:tcBorders>
              <w:top w:val="nil"/>
              <w:left w:val="nil"/>
              <w:bottom w:val="nil"/>
              <w:right w:val="nil"/>
            </w:tcBorders>
            <w:shd w:val="clear" w:color="auto" w:fill="auto"/>
            <w:noWrap/>
            <w:vAlign w:val="bottom"/>
          </w:tcPr>
          <w:p w14:paraId="67EBDD7D" w14:textId="77777777" w:rsidR="006F107B" w:rsidRPr="00632894" w:rsidRDefault="006F107B" w:rsidP="00632894">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tcPr>
          <w:p w14:paraId="48B58D7C" w14:textId="0A105BAB" w:rsidR="006F107B" w:rsidRPr="00632894" w:rsidRDefault="006F107B" w:rsidP="00632894">
            <w:pPr>
              <w:spacing w:after="0" w:line="240" w:lineRule="auto"/>
              <w:jc w:val="both"/>
              <w:rPr>
                <w:rFonts w:eastAsia="Times New Roman" w:cs="Arial"/>
                <w:bCs/>
                <w:strike/>
                <w:sz w:val="20"/>
                <w:szCs w:val="20"/>
                <w:lang w:eastAsia="fr-FR"/>
              </w:rPr>
            </w:pPr>
            <w:r w:rsidRPr="002E173C">
              <w:rPr>
                <w:rFonts w:eastAsia="Times New Roman" w:cs="Arial"/>
                <w:sz w:val="20"/>
                <w:szCs w:val="20"/>
                <w:lang w:eastAsia="fr-FR"/>
              </w:rPr>
              <w:t>La notion de carte de paiement est définie à l’article L. 132-1 du code monétaire et financier :</w:t>
            </w:r>
          </w:p>
        </w:tc>
      </w:tr>
      <w:tr w:rsidR="006F107B" w:rsidRPr="002E173C" w14:paraId="1172B4BC" w14:textId="77777777" w:rsidTr="00C27571">
        <w:trPr>
          <w:trHeight w:val="420"/>
        </w:trPr>
        <w:tc>
          <w:tcPr>
            <w:tcW w:w="250" w:type="dxa"/>
            <w:tcBorders>
              <w:top w:val="nil"/>
              <w:left w:val="nil"/>
              <w:bottom w:val="nil"/>
              <w:right w:val="nil"/>
            </w:tcBorders>
            <w:shd w:val="clear" w:color="auto" w:fill="auto"/>
            <w:noWrap/>
            <w:vAlign w:val="bottom"/>
            <w:hideMark/>
          </w:tcPr>
          <w:p w14:paraId="70761973" w14:textId="3099637F" w:rsidR="006F107B" w:rsidRPr="002E173C" w:rsidRDefault="006F107B" w:rsidP="00632894">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7481E2B0" w14:textId="77777777" w:rsidR="006F107B" w:rsidRDefault="006F107B" w:rsidP="00632894">
            <w:pPr>
              <w:spacing w:after="0" w:line="240" w:lineRule="auto"/>
              <w:jc w:val="both"/>
              <w:rPr>
                <w:rFonts w:eastAsia="Times New Roman" w:cs="Arial"/>
                <w:sz w:val="20"/>
                <w:szCs w:val="20"/>
                <w:lang w:eastAsia="fr-FR"/>
              </w:rPr>
            </w:pPr>
            <w:r w:rsidRPr="002E173C">
              <w:rPr>
                <w:rFonts w:eastAsia="Times New Roman" w:cs="Arial"/>
                <w:sz w:val="20"/>
                <w:szCs w:val="20"/>
                <w:lang w:eastAsia="fr-FR"/>
              </w:rPr>
              <w:t>« Constitue une carte de paiement toute carte émise par un établissement de crédit ou par une institution ou un service mentionné à l’article L. 518-1 et permettant à son titulaire de retirer ou de transférer des fonds. »</w:t>
            </w:r>
          </w:p>
          <w:p w14:paraId="7DBB31CE" w14:textId="078AD7B5" w:rsidR="006F107B" w:rsidRPr="002E173C" w:rsidRDefault="006F107B" w:rsidP="00632894">
            <w:pPr>
              <w:spacing w:after="0" w:line="240" w:lineRule="auto"/>
              <w:jc w:val="both"/>
              <w:rPr>
                <w:rFonts w:eastAsia="Times New Roman" w:cs="Arial"/>
                <w:b/>
                <w:bCs/>
                <w:sz w:val="20"/>
                <w:szCs w:val="20"/>
                <w:lang w:eastAsia="fr-FR"/>
              </w:rPr>
            </w:pPr>
          </w:p>
        </w:tc>
      </w:tr>
      <w:tr w:rsidR="006F107B" w:rsidRPr="002E173C" w14:paraId="74EB295B" w14:textId="77777777" w:rsidTr="00C27571">
        <w:trPr>
          <w:trHeight w:val="351"/>
        </w:trPr>
        <w:tc>
          <w:tcPr>
            <w:tcW w:w="250" w:type="dxa"/>
            <w:tcBorders>
              <w:top w:val="nil"/>
              <w:left w:val="nil"/>
              <w:bottom w:val="single" w:sz="8" w:space="0" w:color="auto"/>
              <w:right w:val="nil"/>
            </w:tcBorders>
            <w:shd w:val="clear" w:color="auto" w:fill="auto"/>
            <w:noWrap/>
            <w:vAlign w:val="bottom"/>
            <w:hideMark/>
          </w:tcPr>
          <w:p w14:paraId="788C3E60" w14:textId="17A0423F" w:rsidR="006F107B" w:rsidRPr="002E173C" w:rsidRDefault="006F107B" w:rsidP="00632894">
            <w:pPr>
              <w:spacing w:after="0" w:line="240" w:lineRule="auto"/>
              <w:rPr>
                <w:rFonts w:eastAsia="Times New Roman" w:cs="Arial"/>
                <w:sz w:val="20"/>
                <w:szCs w:val="20"/>
                <w:lang w:eastAsia="fr-FR"/>
              </w:rPr>
            </w:pPr>
            <w:r w:rsidRPr="002E173C">
              <w:rPr>
                <w:rFonts w:eastAsia="Times New Roman" w:cs="Arial"/>
                <w:sz w:val="20"/>
                <w:szCs w:val="20"/>
                <w:lang w:eastAsia="fr-FR"/>
              </w:rPr>
              <w:t> </w:t>
            </w:r>
          </w:p>
        </w:tc>
        <w:tc>
          <w:tcPr>
            <w:tcW w:w="8852" w:type="dxa"/>
            <w:tcBorders>
              <w:top w:val="nil"/>
              <w:left w:val="nil"/>
              <w:bottom w:val="single" w:sz="8" w:space="0" w:color="auto"/>
              <w:right w:val="nil"/>
            </w:tcBorders>
            <w:shd w:val="clear" w:color="auto" w:fill="auto"/>
            <w:noWrap/>
            <w:vAlign w:val="center"/>
            <w:hideMark/>
          </w:tcPr>
          <w:p w14:paraId="3741DDEA" w14:textId="5A5301B1" w:rsidR="006F107B" w:rsidRPr="002E173C" w:rsidRDefault="006F107B" w:rsidP="00632894">
            <w:pPr>
              <w:spacing w:after="0" w:line="240" w:lineRule="auto"/>
              <w:jc w:val="both"/>
              <w:rPr>
                <w:rFonts w:eastAsia="Times New Roman" w:cs="Arial"/>
                <w:sz w:val="20"/>
                <w:szCs w:val="20"/>
                <w:lang w:eastAsia="fr-FR"/>
              </w:rPr>
            </w:pPr>
            <w:r w:rsidRPr="002E173C">
              <w:rPr>
                <w:rFonts w:eastAsia="Times New Roman" w:cs="Arial"/>
                <w:b/>
                <w:bCs/>
                <w:sz w:val="20"/>
                <w:szCs w:val="20"/>
                <w:lang w:eastAsia="fr-FR"/>
              </w:rPr>
              <w:t>&gt; Émetteur</w:t>
            </w:r>
          </w:p>
        </w:tc>
      </w:tr>
      <w:tr w:rsidR="006F107B" w:rsidRPr="002E173C" w14:paraId="326FDDDA" w14:textId="77777777" w:rsidTr="002E173C">
        <w:trPr>
          <w:trHeight w:val="765"/>
        </w:trPr>
        <w:tc>
          <w:tcPr>
            <w:tcW w:w="250" w:type="dxa"/>
            <w:tcBorders>
              <w:top w:val="nil"/>
              <w:left w:val="nil"/>
              <w:bottom w:val="nil"/>
              <w:right w:val="nil"/>
            </w:tcBorders>
            <w:shd w:val="clear" w:color="auto" w:fill="auto"/>
            <w:noWrap/>
            <w:vAlign w:val="bottom"/>
            <w:hideMark/>
          </w:tcPr>
          <w:p w14:paraId="7C9E6F9B" w14:textId="77777777" w:rsidR="006F107B" w:rsidRPr="002E173C" w:rsidRDefault="006F107B" w:rsidP="00632894">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3D74D51E" w14:textId="77777777" w:rsidR="006F107B" w:rsidRDefault="006F107B" w:rsidP="00632894">
            <w:pPr>
              <w:spacing w:after="0" w:line="240" w:lineRule="auto"/>
              <w:jc w:val="both"/>
              <w:rPr>
                <w:rFonts w:eastAsia="Times New Roman" w:cs="Arial"/>
                <w:sz w:val="20"/>
                <w:szCs w:val="20"/>
                <w:lang w:eastAsia="fr-FR"/>
              </w:rPr>
            </w:pPr>
            <w:r w:rsidRPr="002E173C">
              <w:rPr>
                <w:rFonts w:eastAsia="Times New Roman" w:cs="Arial"/>
                <w:sz w:val="20"/>
                <w:szCs w:val="20"/>
                <w:lang w:eastAsia="fr-FR"/>
              </w:rPr>
              <w:t>Organisme ou son agent qui a émis une carte de paiement au profit d’un porteur de carte et est lié à celui-ci par un contrat.</w:t>
            </w:r>
          </w:p>
          <w:p w14:paraId="796BAA44" w14:textId="77777777" w:rsidR="006F107B" w:rsidRPr="002E173C" w:rsidRDefault="006F107B" w:rsidP="00632894">
            <w:pPr>
              <w:spacing w:after="0" w:line="240" w:lineRule="auto"/>
              <w:jc w:val="both"/>
              <w:rPr>
                <w:rFonts w:eastAsia="Times New Roman" w:cs="Arial"/>
                <w:sz w:val="20"/>
                <w:szCs w:val="20"/>
                <w:lang w:eastAsia="fr-FR"/>
              </w:rPr>
            </w:pPr>
          </w:p>
        </w:tc>
      </w:tr>
      <w:tr w:rsidR="006F107B" w:rsidRPr="002E173C" w14:paraId="1B2304F0" w14:textId="77777777" w:rsidTr="00E23DFC">
        <w:trPr>
          <w:trHeight w:val="420"/>
        </w:trPr>
        <w:tc>
          <w:tcPr>
            <w:tcW w:w="250" w:type="dxa"/>
            <w:tcBorders>
              <w:top w:val="nil"/>
              <w:left w:val="nil"/>
              <w:bottom w:val="single" w:sz="8" w:space="0" w:color="auto"/>
              <w:right w:val="nil"/>
            </w:tcBorders>
            <w:shd w:val="clear" w:color="auto" w:fill="auto"/>
            <w:noWrap/>
            <w:vAlign w:val="bottom"/>
            <w:hideMark/>
          </w:tcPr>
          <w:p w14:paraId="089EC472" w14:textId="7000FF26" w:rsidR="006F107B" w:rsidRPr="00632894" w:rsidRDefault="006F107B" w:rsidP="00632894">
            <w:pPr>
              <w:spacing w:after="0" w:line="240" w:lineRule="auto"/>
              <w:rPr>
                <w:rFonts w:eastAsia="Times New Roman" w:cs="Arial"/>
                <w:sz w:val="20"/>
                <w:szCs w:val="20"/>
                <w:lang w:eastAsia="fr-FR"/>
              </w:rPr>
            </w:pPr>
            <w:r w:rsidRPr="002E173C">
              <w:rPr>
                <w:rFonts w:eastAsia="Times New Roman" w:cs="Arial"/>
                <w:sz w:val="20"/>
                <w:szCs w:val="20"/>
                <w:lang w:eastAsia="fr-FR"/>
              </w:rPr>
              <w:t> </w:t>
            </w:r>
          </w:p>
        </w:tc>
        <w:tc>
          <w:tcPr>
            <w:tcW w:w="8852" w:type="dxa"/>
            <w:tcBorders>
              <w:top w:val="nil"/>
              <w:left w:val="nil"/>
              <w:bottom w:val="single" w:sz="8" w:space="0" w:color="auto"/>
              <w:right w:val="nil"/>
            </w:tcBorders>
            <w:shd w:val="clear" w:color="auto" w:fill="auto"/>
            <w:noWrap/>
            <w:vAlign w:val="center"/>
            <w:hideMark/>
          </w:tcPr>
          <w:p w14:paraId="4DE3117F" w14:textId="24496B2B" w:rsidR="006F107B" w:rsidRPr="00632894" w:rsidRDefault="006F107B" w:rsidP="00632894">
            <w:pPr>
              <w:spacing w:after="0" w:line="240" w:lineRule="auto"/>
              <w:jc w:val="both"/>
              <w:rPr>
                <w:rFonts w:eastAsia="Times New Roman" w:cs="Arial"/>
                <w:b/>
                <w:bCs/>
                <w:strike/>
                <w:sz w:val="20"/>
                <w:szCs w:val="20"/>
                <w:lang w:eastAsia="fr-FR"/>
              </w:rPr>
            </w:pPr>
            <w:r w:rsidRPr="002E173C">
              <w:rPr>
                <w:rFonts w:eastAsia="Times New Roman" w:cs="Arial"/>
                <w:b/>
                <w:bCs/>
                <w:sz w:val="20"/>
                <w:szCs w:val="20"/>
                <w:lang w:eastAsia="fr-FR"/>
              </w:rPr>
              <w:t>&gt; Numéro de carte usurpé</w:t>
            </w:r>
          </w:p>
        </w:tc>
      </w:tr>
      <w:tr w:rsidR="006F107B" w:rsidRPr="002E173C" w14:paraId="3709635B" w14:textId="77777777" w:rsidTr="00E23DFC">
        <w:trPr>
          <w:trHeight w:val="705"/>
        </w:trPr>
        <w:tc>
          <w:tcPr>
            <w:tcW w:w="250" w:type="dxa"/>
            <w:tcBorders>
              <w:top w:val="nil"/>
              <w:left w:val="nil"/>
              <w:bottom w:val="nil"/>
              <w:right w:val="nil"/>
            </w:tcBorders>
            <w:shd w:val="clear" w:color="auto" w:fill="auto"/>
            <w:noWrap/>
            <w:vAlign w:val="bottom"/>
            <w:hideMark/>
          </w:tcPr>
          <w:p w14:paraId="29812FD3" w14:textId="77777777" w:rsidR="006F107B" w:rsidRPr="00632894" w:rsidRDefault="006F107B" w:rsidP="00632894">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17ABDB51" w14:textId="2FA12178" w:rsidR="006F107B" w:rsidRPr="00632894" w:rsidRDefault="006F107B" w:rsidP="00632894">
            <w:pPr>
              <w:spacing w:after="0" w:line="240" w:lineRule="auto"/>
              <w:jc w:val="both"/>
              <w:rPr>
                <w:rFonts w:eastAsia="Times New Roman" w:cs="Arial"/>
                <w:strike/>
                <w:sz w:val="20"/>
                <w:szCs w:val="20"/>
                <w:lang w:eastAsia="fr-FR"/>
              </w:rPr>
            </w:pPr>
            <w:r w:rsidRPr="002E173C">
              <w:rPr>
                <w:rFonts w:eastAsia="Times New Roman" w:cs="Arial"/>
                <w:sz w:val="20"/>
                <w:szCs w:val="20"/>
                <w:lang w:eastAsia="fr-FR"/>
              </w:rPr>
              <w:t>Numéro de carte d’un porteur relevé à son insu ou créé par moulinage, et utilisé en vente à distance.</w:t>
            </w:r>
          </w:p>
        </w:tc>
      </w:tr>
      <w:tr w:rsidR="006F107B" w:rsidRPr="002E173C" w14:paraId="4533B257" w14:textId="77777777" w:rsidTr="00554DDD">
        <w:trPr>
          <w:trHeight w:val="481"/>
        </w:trPr>
        <w:tc>
          <w:tcPr>
            <w:tcW w:w="250" w:type="dxa"/>
            <w:tcBorders>
              <w:top w:val="nil"/>
              <w:left w:val="nil"/>
              <w:bottom w:val="nil"/>
              <w:right w:val="nil"/>
            </w:tcBorders>
            <w:shd w:val="clear" w:color="auto" w:fill="auto"/>
            <w:noWrap/>
            <w:vAlign w:val="bottom"/>
          </w:tcPr>
          <w:p w14:paraId="4E06B69D" w14:textId="77777777" w:rsidR="006F107B" w:rsidRPr="002E173C" w:rsidRDefault="006F107B" w:rsidP="00632894">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tcPr>
          <w:p w14:paraId="5E1776C1" w14:textId="28FBA793" w:rsidR="006F107B" w:rsidRPr="002E173C" w:rsidRDefault="006F107B" w:rsidP="00632894">
            <w:pPr>
              <w:spacing w:after="0" w:line="240" w:lineRule="auto"/>
              <w:jc w:val="both"/>
              <w:rPr>
                <w:rFonts w:eastAsia="Times New Roman" w:cs="Arial"/>
                <w:sz w:val="20"/>
                <w:szCs w:val="20"/>
                <w:lang w:eastAsia="fr-FR"/>
              </w:rPr>
            </w:pPr>
          </w:p>
        </w:tc>
      </w:tr>
    </w:tbl>
    <w:p w14:paraId="1893CF0C" w14:textId="77777777" w:rsidR="007E729F" w:rsidRDefault="007E729F" w:rsidP="007E4607">
      <w:pPr>
        <w:rPr>
          <w:rFonts w:ascii="Cambria,Bold" w:hAnsi="Cambria,Bold" w:cs="Cambria,Bold"/>
          <w:b/>
          <w:bCs/>
          <w:color w:val="548DD4" w:themeColor="text2" w:themeTint="99"/>
          <w:sz w:val="24"/>
          <w:szCs w:val="24"/>
          <w:u w:val="single"/>
        </w:rPr>
      </w:pPr>
    </w:p>
    <w:p w14:paraId="797AC530" w14:textId="77777777" w:rsidR="007E729F" w:rsidRDefault="007E729F" w:rsidP="007E4607">
      <w:pPr>
        <w:rPr>
          <w:rFonts w:ascii="Cambria,Bold" w:hAnsi="Cambria,Bold" w:cs="Cambria,Bold"/>
          <w:b/>
          <w:bCs/>
          <w:color w:val="548DD4" w:themeColor="text2" w:themeTint="99"/>
          <w:sz w:val="24"/>
          <w:szCs w:val="24"/>
          <w:u w:val="single"/>
        </w:rPr>
      </w:pPr>
    </w:p>
    <w:p w14:paraId="634F3879" w14:textId="77777777" w:rsidR="006F107B" w:rsidRDefault="00E317AA" w:rsidP="00BA3CEE">
      <w:pPr>
        <w:rPr>
          <w:rFonts w:ascii="Cambria,Bold" w:hAnsi="Cambria,Bold" w:cs="Cambria,Bold"/>
          <w:b/>
          <w:bCs/>
          <w:color w:val="548DD4" w:themeColor="text2" w:themeTint="99"/>
          <w:sz w:val="24"/>
          <w:szCs w:val="24"/>
          <w:u w:val="single"/>
        </w:rPr>
      </w:pPr>
      <w:r w:rsidRPr="002E173C">
        <w:rPr>
          <w:rFonts w:ascii="Cambria,Bold" w:hAnsi="Cambria,Bold" w:cs="Cambria,Bold"/>
          <w:b/>
          <w:bCs/>
          <w:color w:val="548DD4" w:themeColor="text2" w:themeTint="99"/>
          <w:sz w:val="24"/>
          <w:szCs w:val="24"/>
          <w:u w:val="single"/>
        </w:rPr>
        <w:t xml:space="preserve"> </w:t>
      </w:r>
    </w:p>
    <w:p w14:paraId="4548C1FC" w14:textId="77777777" w:rsidR="006F107B" w:rsidRDefault="006F107B" w:rsidP="00BA3CEE">
      <w:pPr>
        <w:rPr>
          <w:rFonts w:ascii="Cambria,Bold" w:hAnsi="Cambria,Bold" w:cs="Cambria,Bold"/>
          <w:b/>
          <w:bCs/>
          <w:color w:val="548DD4" w:themeColor="text2" w:themeTint="99"/>
          <w:sz w:val="24"/>
          <w:szCs w:val="24"/>
          <w:u w:val="single"/>
        </w:rPr>
      </w:pPr>
    </w:p>
    <w:p w14:paraId="397A938E" w14:textId="77777777" w:rsidR="006F107B" w:rsidRDefault="006F107B" w:rsidP="00BA3CEE">
      <w:pPr>
        <w:rPr>
          <w:rFonts w:ascii="Cambria,Bold" w:hAnsi="Cambria,Bold" w:cs="Cambria,Bold"/>
          <w:b/>
          <w:bCs/>
          <w:color w:val="548DD4" w:themeColor="text2" w:themeTint="99"/>
          <w:sz w:val="24"/>
          <w:szCs w:val="24"/>
          <w:u w:val="single"/>
        </w:rPr>
      </w:pPr>
    </w:p>
    <w:p w14:paraId="0E2BFEA6" w14:textId="77777777" w:rsidR="006F107B" w:rsidRDefault="006F107B" w:rsidP="00BA3CEE">
      <w:pPr>
        <w:rPr>
          <w:rFonts w:ascii="Cambria,Bold" w:hAnsi="Cambria,Bold" w:cs="Cambria,Bold"/>
          <w:b/>
          <w:bCs/>
          <w:color w:val="548DD4" w:themeColor="text2" w:themeTint="99"/>
          <w:sz w:val="24"/>
          <w:szCs w:val="24"/>
          <w:u w:val="single"/>
        </w:rPr>
      </w:pPr>
    </w:p>
    <w:p w14:paraId="5A741AEC" w14:textId="77777777" w:rsidR="006F107B" w:rsidRDefault="006F107B" w:rsidP="00BA3CEE">
      <w:pPr>
        <w:rPr>
          <w:rFonts w:ascii="Cambria,Bold" w:hAnsi="Cambria,Bold" w:cs="Cambria,Bold"/>
          <w:b/>
          <w:bCs/>
          <w:color w:val="548DD4" w:themeColor="text2" w:themeTint="99"/>
          <w:sz w:val="24"/>
          <w:szCs w:val="24"/>
          <w:u w:val="single"/>
        </w:rPr>
      </w:pPr>
    </w:p>
    <w:p w14:paraId="72404C2F" w14:textId="6F640B4A" w:rsidR="00BA3CEE" w:rsidRDefault="008E39B3" w:rsidP="00BA3CEE">
      <w:pPr>
        <w:rPr>
          <w:rFonts w:ascii="Cambria,Bold" w:hAnsi="Cambria,Bold" w:cs="Cambria,Bold"/>
          <w:b/>
          <w:bCs/>
          <w:color w:val="548DD4" w:themeColor="text2" w:themeTint="99"/>
          <w:sz w:val="24"/>
          <w:szCs w:val="24"/>
          <w:u w:val="single"/>
        </w:rPr>
      </w:pPr>
      <w:r>
        <w:rPr>
          <w:rFonts w:ascii="Cambria,Bold" w:hAnsi="Cambria,Bold" w:cs="Cambria,Bold"/>
          <w:b/>
          <w:bCs/>
          <w:color w:val="548DD4" w:themeColor="text2" w:themeTint="99"/>
          <w:sz w:val="24"/>
          <w:szCs w:val="24"/>
          <w:u w:val="single"/>
        </w:rPr>
        <w:lastRenderedPageBreak/>
        <w:t>Zones géographiques</w:t>
      </w:r>
    </w:p>
    <w:tbl>
      <w:tblPr>
        <w:tblStyle w:val="Grilledutableau"/>
        <w:tblW w:w="0" w:type="auto"/>
        <w:tblLook w:val="04A0" w:firstRow="1" w:lastRow="0" w:firstColumn="1" w:lastColumn="0" w:noHBand="0" w:noVBand="1"/>
      </w:tblPr>
      <w:tblGrid>
        <w:gridCol w:w="4602"/>
        <w:gridCol w:w="4603"/>
      </w:tblGrid>
      <w:tr w:rsidR="002C5B28" w14:paraId="2E8B9FDF" w14:textId="77777777" w:rsidTr="002C5B28">
        <w:tc>
          <w:tcPr>
            <w:tcW w:w="4602" w:type="dxa"/>
          </w:tcPr>
          <w:p w14:paraId="7680B401" w14:textId="022E1284" w:rsidR="002C5B28" w:rsidRDefault="002C5B28" w:rsidP="00BA3CEE">
            <w:pPr>
              <w:rPr>
                <w:rFonts w:ascii="Cambria,Bold" w:hAnsi="Cambria,Bold" w:cs="Cambria,Bold"/>
                <w:b/>
                <w:bCs/>
                <w:color w:val="548DD4" w:themeColor="text2" w:themeTint="99"/>
                <w:sz w:val="24"/>
                <w:szCs w:val="24"/>
                <w:u w:val="single"/>
              </w:rPr>
            </w:pPr>
            <w:r>
              <w:rPr>
                <w:rFonts w:ascii="Cambria,Bold" w:hAnsi="Cambria,Bold" w:cs="Cambria,Bold"/>
                <w:b/>
                <w:bCs/>
                <w:color w:val="548DD4" w:themeColor="text2" w:themeTint="99"/>
                <w:sz w:val="24"/>
                <w:szCs w:val="24"/>
                <w:u w:val="single"/>
              </w:rPr>
              <w:t>Zone France</w:t>
            </w:r>
          </w:p>
          <w:p w14:paraId="35EC53C3" w14:textId="77777777" w:rsidR="002C5B28" w:rsidRDefault="002C5B28" w:rsidP="00BA3CEE">
            <w:pPr>
              <w:rPr>
                <w:rFonts w:ascii="Cambria,Bold" w:hAnsi="Cambria,Bold" w:cs="Cambria,Bold"/>
                <w:b/>
                <w:bCs/>
                <w:color w:val="548DD4" w:themeColor="text2" w:themeTint="99"/>
                <w:sz w:val="24"/>
                <w:szCs w:val="24"/>
                <w:u w:val="single"/>
              </w:rPr>
            </w:pPr>
          </w:p>
          <w:tbl>
            <w:tblPr>
              <w:tblStyle w:val="Grilledutableau"/>
              <w:tblW w:w="0" w:type="auto"/>
              <w:tblLook w:val="04A0" w:firstRow="1" w:lastRow="0" w:firstColumn="1" w:lastColumn="0" w:noHBand="0" w:noVBand="1"/>
            </w:tblPr>
            <w:tblGrid>
              <w:gridCol w:w="4376"/>
            </w:tblGrid>
            <w:tr w:rsidR="002C5B28" w14:paraId="7A1BD526" w14:textId="77777777" w:rsidTr="002C5B28">
              <w:tc>
                <w:tcPr>
                  <w:tcW w:w="4376" w:type="dxa"/>
                </w:tcPr>
                <w:p w14:paraId="011ABEF1" w14:textId="212C77CE" w:rsidR="002C5B28" w:rsidRPr="00B8626D" w:rsidRDefault="002C5B28" w:rsidP="00BA3CEE">
                  <w:pPr>
                    <w:rPr>
                      <w:rFonts w:eastAsia="Times New Roman" w:cs="Arial"/>
                      <w:sz w:val="20"/>
                      <w:szCs w:val="20"/>
                      <w:lang w:eastAsia="fr-FR"/>
                    </w:rPr>
                  </w:pPr>
                  <w:r>
                    <w:rPr>
                      <w:rFonts w:eastAsia="Times New Roman" w:cs="Arial"/>
                      <w:sz w:val="20"/>
                      <w:szCs w:val="20"/>
                      <w:lang w:eastAsia="fr-FR"/>
                    </w:rPr>
                    <w:t>France métropolitaine</w:t>
                  </w:r>
                </w:p>
              </w:tc>
            </w:tr>
            <w:tr w:rsidR="002C5B28" w14:paraId="0FC940B8" w14:textId="77777777" w:rsidTr="00B8626D">
              <w:tc>
                <w:tcPr>
                  <w:tcW w:w="4376" w:type="dxa"/>
                  <w:shd w:val="clear" w:color="auto" w:fill="DBE5F1" w:themeFill="accent1" w:themeFillTint="33"/>
                </w:tcPr>
                <w:p w14:paraId="18CD1C74" w14:textId="5BCA4F71" w:rsidR="002C5B28" w:rsidRPr="00B8626D" w:rsidRDefault="002C5B28" w:rsidP="00BA3CEE">
                  <w:pPr>
                    <w:rPr>
                      <w:rFonts w:eastAsia="Times New Roman" w:cs="Arial"/>
                      <w:sz w:val="20"/>
                      <w:szCs w:val="20"/>
                      <w:lang w:eastAsia="fr-FR"/>
                    </w:rPr>
                  </w:pPr>
                  <w:r>
                    <w:rPr>
                      <w:rFonts w:eastAsia="Times New Roman" w:cs="Arial"/>
                      <w:sz w:val="20"/>
                      <w:szCs w:val="20"/>
                      <w:lang w:eastAsia="fr-FR"/>
                    </w:rPr>
                    <w:t>Départements et régions d’Outre-Mer</w:t>
                  </w:r>
                  <w:r w:rsidR="008C5E79">
                    <w:rPr>
                      <w:rStyle w:val="Appelnotedebasdep"/>
                      <w:rFonts w:eastAsia="Times New Roman" w:cs="Arial"/>
                      <w:sz w:val="20"/>
                      <w:szCs w:val="20"/>
                      <w:lang w:eastAsia="fr-FR"/>
                    </w:rPr>
                    <w:footnoteReference w:id="5"/>
                  </w:r>
                  <w:r>
                    <w:rPr>
                      <w:rFonts w:eastAsia="Times New Roman" w:cs="Arial"/>
                      <w:sz w:val="20"/>
                      <w:szCs w:val="20"/>
                      <w:lang w:eastAsia="fr-FR"/>
                    </w:rPr>
                    <w:t xml:space="preserve"> : </w:t>
                  </w:r>
                </w:p>
              </w:tc>
            </w:tr>
            <w:tr w:rsidR="002C5B28" w14:paraId="2FDFC13E" w14:textId="77777777" w:rsidTr="00B8626D">
              <w:tc>
                <w:tcPr>
                  <w:tcW w:w="4376" w:type="dxa"/>
                  <w:shd w:val="clear" w:color="auto" w:fill="DBE5F1" w:themeFill="accent1" w:themeFillTint="33"/>
                </w:tcPr>
                <w:p w14:paraId="36C49DA0" w14:textId="75C8F184" w:rsidR="002C5B28" w:rsidRPr="00B8626D" w:rsidRDefault="002C5B28" w:rsidP="00BA3CEE">
                  <w:pPr>
                    <w:rPr>
                      <w:rFonts w:eastAsia="Times New Roman" w:cs="Arial"/>
                      <w:sz w:val="20"/>
                      <w:szCs w:val="20"/>
                      <w:lang w:eastAsia="fr-FR"/>
                    </w:rPr>
                  </w:pPr>
                  <w:r>
                    <w:rPr>
                      <w:rFonts w:eastAsia="Times New Roman" w:cs="Arial"/>
                      <w:sz w:val="20"/>
                      <w:szCs w:val="20"/>
                      <w:lang w:eastAsia="fr-FR"/>
                    </w:rPr>
                    <w:t>Guadeloupe</w:t>
                  </w:r>
                </w:p>
              </w:tc>
            </w:tr>
            <w:tr w:rsidR="002C5B28" w14:paraId="003F5A44" w14:textId="77777777" w:rsidTr="00B8626D">
              <w:tc>
                <w:tcPr>
                  <w:tcW w:w="4376" w:type="dxa"/>
                  <w:shd w:val="clear" w:color="auto" w:fill="DBE5F1" w:themeFill="accent1" w:themeFillTint="33"/>
                </w:tcPr>
                <w:p w14:paraId="36053141" w14:textId="1F8F6CD3" w:rsidR="002C5B28" w:rsidRPr="00B8626D" w:rsidRDefault="00AB3FCA" w:rsidP="00BA3CEE">
                  <w:pPr>
                    <w:rPr>
                      <w:rFonts w:eastAsia="Times New Roman" w:cs="Arial"/>
                      <w:sz w:val="20"/>
                      <w:szCs w:val="20"/>
                      <w:lang w:eastAsia="fr-FR"/>
                    </w:rPr>
                  </w:pPr>
                  <w:r>
                    <w:rPr>
                      <w:rFonts w:eastAsia="Times New Roman" w:cs="Arial"/>
                      <w:sz w:val="20"/>
                      <w:szCs w:val="20"/>
                      <w:lang w:eastAsia="fr-FR"/>
                    </w:rPr>
                    <w:t>Martinique</w:t>
                  </w:r>
                </w:p>
              </w:tc>
            </w:tr>
            <w:tr w:rsidR="001141B0" w14:paraId="744C6502" w14:textId="77777777" w:rsidTr="00B8626D">
              <w:tc>
                <w:tcPr>
                  <w:tcW w:w="4376" w:type="dxa"/>
                  <w:shd w:val="clear" w:color="auto" w:fill="DBE5F1" w:themeFill="accent1" w:themeFillTint="33"/>
                </w:tcPr>
                <w:p w14:paraId="6D125B7B" w14:textId="1D0E4471" w:rsidR="001141B0" w:rsidRDefault="001141B0" w:rsidP="00BA3CEE">
                  <w:pPr>
                    <w:rPr>
                      <w:rFonts w:eastAsia="Times New Roman" w:cs="Arial"/>
                      <w:sz w:val="20"/>
                      <w:szCs w:val="20"/>
                      <w:lang w:eastAsia="fr-FR"/>
                    </w:rPr>
                  </w:pPr>
                  <w:r>
                    <w:rPr>
                      <w:rFonts w:eastAsia="Times New Roman" w:cs="Arial"/>
                      <w:sz w:val="20"/>
                      <w:szCs w:val="20"/>
                      <w:lang w:eastAsia="fr-FR"/>
                    </w:rPr>
                    <w:t>Guyane</w:t>
                  </w:r>
                  <w:r w:rsidR="00B95D10">
                    <w:rPr>
                      <w:rFonts w:eastAsia="Times New Roman" w:cs="Arial"/>
                      <w:sz w:val="20"/>
                      <w:szCs w:val="20"/>
                      <w:lang w:eastAsia="fr-FR"/>
                    </w:rPr>
                    <w:t xml:space="preserve"> française</w:t>
                  </w:r>
                </w:p>
              </w:tc>
            </w:tr>
            <w:tr w:rsidR="002C5B28" w14:paraId="1ED3AD58" w14:textId="77777777" w:rsidTr="00B8626D">
              <w:tc>
                <w:tcPr>
                  <w:tcW w:w="4376" w:type="dxa"/>
                  <w:shd w:val="clear" w:color="auto" w:fill="DBE5F1" w:themeFill="accent1" w:themeFillTint="33"/>
                </w:tcPr>
                <w:p w14:paraId="46A0B885" w14:textId="2E918E88" w:rsidR="002C5B28" w:rsidRPr="008C5E79" w:rsidRDefault="00AB3FCA" w:rsidP="00BA3CEE">
                  <w:pPr>
                    <w:rPr>
                      <w:rFonts w:eastAsia="Times New Roman" w:cs="Arial"/>
                      <w:sz w:val="20"/>
                      <w:szCs w:val="20"/>
                      <w:lang w:eastAsia="fr-FR"/>
                    </w:rPr>
                  </w:pPr>
                  <w:r>
                    <w:rPr>
                      <w:rFonts w:eastAsia="Times New Roman" w:cs="Arial"/>
                      <w:sz w:val="20"/>
                      <w:szCs w:val="20"/>
                      <w:lang w:eastAsia="fr-FR"/>
                    </w:rPr>
                    <w:t>Réunion</w:t>
                  </w:r>
                </w:p>
              </w:tc>
            </w:tr>
            <w:tr w:rsidR="002C5B28" w14:paraId="1D71907E" w14:textId="77777777" w:rsidTr="00B8626D">
              <w:tc>
                <w:tcPr>
                  <w:tcW w:w="4376" w:type="dxa"/>
                  <w:shd w:val="clear" w:color="auto" w:fill="DBE5F1" w:themeFill="accent1" w:themeFillTint="33"/>
                </w:tcPr>
                <w:p w14:paraId="0D47FAEA" w14:textId="03D6266C" w:rsidR="002C5B28" w:rsidRPr="008C5E79" w:rsidRDefault="00AB3FCA" w:rsidP="00BA3CEE">
                  <w:pPr>
                    <w:rPr>
                      <w:rFonts w:eastAsia="Times New Roman" w:cs="Arial"/>
                      <w:sz w:val="20"/>
                      <w:szCs w:val="20"/>
                      <w:lang w:eastAsia="fr-FR"/>
                    </w:rPr>
                  </w:pPr>
                  <w:r>
                    <w:rPr>
                      <w:rFonts w:eastAsia="Times New Roman" w:cs="Arial"/>
                      <w:sz w:val="20"/>
                      <w:szCs w:val="20"/>
                      <w:lang w:eastAsia="fr-FR"/>
                    </w:rPr>
                    <w:t>Saint Pierre et Miquelon</w:t>
                  </w:r>
                </w:p>
              </w:tc>
            </w:tr>
            <w:tr w:rsidR="002C5B28" w14:paraId="0CA028FC" w14:textId="77777777" w:rsidTr="00B8626D">
              <w:tc>
                <w:tcPr>
                  <w:tcW w:w="4376" w:type="dxa"/>
                  <w:shd w:val="clear" w:color="auto" w:fill="DBE5F1" w:themeFill="accent1" w:themeFillTint="33"/>
                </w:tcPr>
                <w:p w14:paraId="28C0EF11" w14:textId="12725898" w:rsidR="002C5B28" w:rsidRPr="008C5E79" w:rsidRDefault="00AB3FCA" w:rsidP="00BA3CEE">
                  <w:pPr>
                    <w:rPr>
                      <w:rFonts w:eastAsia="Times New Roman" w:cs="Arial"/>
                      <w:sz w:val="20"/>
                      <w:szCs w:val="20"/>
                      <w:lang w:eastAsia="fr-FR"/>
                    </w:rPr>
                  </w:pPr>
                  <w:r>
                    <w:rPr>
                      <w:rFonts w:eastAsia="Times New Roman" w:cs="Arial"/>
                      <w:sz w:val="20"/>
                      <w:szCs w:val="20"/>
                      <w:lang w:eastAsia="fr-FR"/>
                    </w:rPr>
                    <w:t>Mayotte</w:t>
                  </w:r>
                </w:p>
              </w:tc>
            </w:tr>
            <w:tr w:rsidR="002C5B28" w14:paraId="0F7C50EC" w14:textId="77777777" w:rsidTr="00B8626D">
              <w:tc>
                <w:tcPr>
                  <w:tcW w:w="4376" w:type="dxa"/>
                  <w:shd w:val="clear" w:color="auto" w:fill="DBE5F1" w:themeFill="accent1" w:themeFillTint="33"/>
                </w:tcPr>
                <w:p w14:paraId="082BB2F0" w14:textId="4F3EFD67" w:rsidR="002C5B28" w:rsidRPr="008C5E79" w:rsidRDefault="00AB3FCA" w:rsidP="00BA3CEE">
                  <w:pPr>
                    <w:rPr>
                      <w:rFonts w:eastAsia="Times New Roman" w:cs="Arial"/>
                      <w:sz w:val="20"/>
                      <w:szCs w:val="20"/>
                      <w:lang w:eastAsia="fr-FR"/>
                    </w:rPr>
                  </w:pPr>
                  <w:r>
                    <w:rPr>
                      <w:rFonts w:eastAsia="Times New Roman" w:cs="Arial"/>
                      <w:sz w:val="20"/>
                      <w:szCs w:val="20"/>
                      <w:lang w:eastAsia="fr-FR"/>
                    </w:rPr>
                    <w:t>Saint Barthélemy</w:t>
                  </w:r>
                </w:p>
              </w:tc>
            </w:tr>
            <w:tr w:rsidR="002C5B28" w14:paraId="3C09D9D1" w14:textId="77777777" w:rsidTr="00B8626D">
              <w:tc>
                <w:tcPr>
                  <w:tcW w:w="4376" w:type="dxa"/>
                  <w:shd w:val="clear" w:color="auto" w:fill="DBE5F1" w:themeFill="accent1" w:themeFillTint="33"/>
                </w:tcPr>
                <w:p w14:paraId="2F3915E6" w14:textId="6525B0E2" w:rsidR="002C5B28" w:rsidRPr="008C5E79" w:rsidRDefault="00AB3FCA" w:rsidP="00BA3CEE">
                  <w:pPr>
                    <w:rPr>
                      <w:rFonts w:eastAsia="Times New Roman" w:cs="Arial"/>
                      <w:sz w:val="20"/>
                      <w:szCs w:val="20"/>
                      <w:lang w:eastAsia="fr-FR"/>
                    </w:rPr>
                  </w:pPr>
                  <w:r>
                    <w:rPr>
                      <w:rFonts w:eastAsia="Times New Roman" w:cs="Arial"/>
                      <w:sz w:val="20"/>
                      <w:szCs w:val="20"/>
                      <w:lang w:eastAsia="fr-FR"/>
                    </w:rPr>
                    <w:t>Saint Martin</w:t>
                  </w:r>
                </w:p>
              </w:tc>
            </w:tr>
            <w:tr w:rsidR="002C5B28" w14:paraId="59BBC309" w14:textId="77777777" w:rsidTr="002C5B28">
              <w:tc>
                <w:tcPr>
                  <w:tcW w:w="4376" w:type="dxa"/>
                </w:tcPr>
                <w:p w14:paraId="60F608C8" w14:textId="653109DC" w:rsidR="002C5B28" w:rsidRPr="008C5E79" w:rsidRDefault="00AB3FCA" w:rsidP="00BA3CEE">
                  <w:pPr>
                    <w:rPr>
                      <w:rFonts w:eastAsia="Times New Roman" w:cs="Arial"/>
                      <w:sz w:val="20"/>
                      <w:szCs w:val="20"/>
                      <w:lang w:eastAsia="fr-FR"/>
                    </w:rPr>
                  </w:pPr>
                  <w:r>
                    <w:rPr>
                      <w:rFonts w:eastAsia="Times New Roman" w:cs="Arial"/>
                      <w:sz w:val="20"/>
                      <w:szCs w:val="20"/>
                      <w:lang w:eastAsia="fr-FR"/>
                    </w:rPr>
                    <w:t>Principauté de Monaco</w:t>
                  </w:r>
                </w:p>
              </w:tc>
            </w:tr>
          </w:tbl>
          <w:p w14:paraId="63137A04" w14:textId="77777777" w:rsidR="002C5B28" w:rsidRDefault="002C5B28" w:rsidP="00BA3CEE">
            <w:pPr>
              <w:rPr>
                <w:rFonts w:ascii="Cambria,Bold" w:hAnsi="Cambria,Bold" w:cs="Cambria,Bold"/>
                <w:b/>
                <w:bCs/>
                <w:color w:val="548DD4" w:themeColor="text2" w:themeTint="99"/>
                <w:sz w:val="24"/>
                <w:szCs w:val="24"/>
                <w:u w:val="single"/>
              </w:rPr>
            </w:pPr>
          </w:p>
          <w:p w14:paraId="05FF2229" w14:textId="2D4D71AF" w:rsidR="002C5B28" w:rsidRDefault="002C5B28" w:rsidP="008C5E79">
            <w:pPr>
              <w:rPr>
                <w:rFonts w:ascii="Cambria,Bold" w:hAnsi="Cambria,Bold" w:cs="Cambria,Bold"/>
                <w:b/>
                <w:bCs/>
                <w:color w:val="548DD4" w:themeColor="text2" w:themeTint="99"/>
                <w:sz w:val="24"/>
                <w:szCs w:val="24"/>
                <w:u w:val="single"/>
              </w:rPr>
            </w:pPr>
          </w:p>
        </w:tc>
        <w:tc>
          <w:tcPr>
            <w:tcW w:w="4603" w:type="dxa"/>
          </w:tcPr>
          <w:p w14:paraId="7464AEA9" w14:textId="0457FC69" w:rsidR="002C5B28" w:rsidRDefault="002C5B28" w:rsidP="00BA3CEE">
            <w:pPr>
              <w:rPr>
                <w:rFonts w:ascii="Cambria,Bold" w:hAnsi="Cambria,Bold" w:cs="Cambria,Bold"/>
                <w:b/>
                <w:bCs/>
                <w:color w:val="548DD4" w:themeColor="text2" w:themeTint="99"/>
                <w:sz w:val="24"/>
                <w:szCs w:val="24"/>
                <w:u w:val="single"/>
              </w:rPr>
            </w:pPr>
            <w:r>
              <w:rPr>
                <w:rFonts w:ascii="Cambria,Bold" w:hAnsi="Cambria,Bold" w:cs="Cambria,Bold"/>
                <w:b/>
                <w:bCs/>
                <w:color w:val="548DD4" w:themeColor="text2" w:themeTint="99"/>
                <w:sz w:val="24"/>
                <w:szCs w:val="24"/>
                <w:u w:val="single"/>
              </w:rPr>
              <w:t>Liste des pays de l’EEE</w:t>
            </w:r>
            <w:r w:rsidR="009F66F5">
              <w:rPr>
                <w:rFonts w:ascii="Cambria,Bold" w:hAnsi="Cambria,Bold" w:cs="Cambria,Bold"/>
                <w:b/>
                <w:bCs/>
                <w:color w:val="548DD4" w:themeColor="text2" w:themeTint="99"/>
                <w:sz w:val="24"/>
                <w:szCs w:val="24"/>
                <w:u w:val="single"/>
              </w:rPr>
              <w:t xml:space="preserve"> (hors France)</w:t>
            </w:r>
          </w:p>
          <w:p w14:paraId="07EDBD5D" w14:textId="77777777" w:rsidR="002C5B28" w:rsidRDefault="002C5B28" w:rsidP="00BA3CEE">
            <w:pPr>
              <w:rPr>
                <w:rFonts w:ascii="Cambria,Bold" w:hAnsi="Cambria,Bold" w:cs="Cambria,Bold"/>
                <w:b/>
                <w:bCs/>
                <w:color w:val="548DD4" w:themeColor="text2" w:themeTint="99"/>
                <w:sz w:val="24"/>
                <w:szCs w:val="24"/>
                <w:u w:val="single"/>
              </w:rPr>
            </w:pPr>
          </w:p>
          <w:tbl>
            <w:tblPr>
              <w:tblW w:w="3996" w:type="pct"/>
              <w:tblBorders>
                <w:top w:val="outset" w:sz="6" w:space="0" w:color="auto"/>
                <w:left w:val="outset" w:sz="6" w:space="0" w:color="auto"/>
                <w:bottom w:val="outset" w:sz="6" w:space="0" w:color="auto"/>
                <w:right w:val="outset" w:sz="6" w:space="0" w:color="auto"/>
              </w:tblBorders>
              <w:shd w:val="clear" w:color="auto" w:fill="F5FAFF"/>
              <w:tblCellMar>
                <w:top w:w="30" w:type="dxa"/>
                <w:left w:w="30" w:type="dxa"/>
                <w:bottom w:w="30" w:type="dxa"/>
                <w:right w:w="30" w:type="dxa"/>
              </w:tblCellMar>
              <w:tblLook w:val="04A0" w:firstRow="1" w:lastRow="0" w:firstColumn="1" w:lastColumn="0" w:noHBand="0" w:noVBand="1"/>
            </w:tblPr>
            <w:tblGrid>
              <w:gridCol w:w="2501"/>
              <w:gridCol w:w="992"/>
            </w:tblGrid>
            <w:tr w:rsidR="002700B4" w:rsidRPr="00BD0410" w14:paraId="775B2A74"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B238383" w14:textId="77777777" w:rsidR="002700B4" w:rsidRPr="00565AF2" w:rsidRDefault="002700B4"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Allemagne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C78F4FB" w14:textId="77777777" w:rsidR="002700B4" w:rsidRPr="00BD0410" w:rsidRDefault="002700B4" w:rsidP="006E51E1">
                  <w:pPr>
                    <w:spacing w:after="0" w:line="240" w:lineRule="auto"/>
                    <w:rPr>
                      <w:rFonts w:eastAsia="Times New Roman" w:cstheme="minorHAnsi"/>
                      <w:color w:val="333333"/>
                      <w:sz w:val="20"/>
                      <w:szCs w:val="20"/>
                      <w:lang w:eastAsia="fr-FR"/>
                    </w:rPr>
                  </w:pPr>
                  <w:r w:rsidRPr="00BD0410">
                    <w:rPr>
                      <w:rFonts w:eastAsia="Times New Roman" w:cstheme="minorHAnsi"/>
                      <w:color w:val="333333"/>
                      <w:sz w:val="20"/>
                      <w:szCs w:val="20"/>
                      <w:lang w:eastAsia="fr-FR"/>
                    </w:rPr>
                    <w:t>(DE)</w:t>
                  </w:r>
                </w:p>
              </w:tc>
            </w:tr>
            <w:tr w:rsidR="009F66F5" w:rsidRPr="00BD0410" w14:paraId="6DA02C2F"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103CBF9"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Autriche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9B4F177"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(AT)</w:t>
                  </w:r>
                </w:p>
              </w:tc>
            </w:tr>
            <w:tr w:rsidR="002C5B28" w:rsidRPr="00565AF2" w14:paraId="2FAADCF5"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9798474"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Belgique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5DB0DBD"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(BE)</w:t>
                  </w:r>
                </w:p>
              </w:tc>
            </w:tr>
            <w:tr w:rsidR="002C5B28" w:rsidRPr="00565AF2" w14:paraId="7853FFFB"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8EB7FEA"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Bulgarie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D9716D7"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(BG)</w:t>
                  </w:r>
                </w:p>
              </w:tc>
            </w:tr>
            <w:tr w:rsidR="009F66F5" w:rsidRPr="00A91E34" w14:paraId="0350FD98"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BC1E006"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Chypre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7BC0677"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(CY)</w:t>
                  </w:r>
                </w:p>
              </w:tc>
            </w:tr>
            <w:tr w:rsidR="009F66F5" w:rsidRPr="00A91E34" w14:paraId="2EE9EFE2"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DDCD8EC"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Croatie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C7AD27E"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(HR)</w:t>
                  </w:r>
                </w:p>
              </w:tc>
            </w:tr>
            <w:tr w:rsidR="002C5B28" w:rsidRPr="00565AF2" w14:paraId="78142D58"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112E990"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Danemark</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D97152E"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(DK)</w:t>
                  </w:r>
                </w:p>
              </w:tc>
            </w:tr>
            <w:tr w:rsidR="009F66F5" w:rsidRPr="00BD0410" w14:paraId="43D0D8D1"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E831076"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Espagne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51B4FCA"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(ES)</w:t>
                  </w:r>
                </w:p>
              </w:tc>
            </w:tr>
            <w:tr w:rsidR="009F66F5" w:rsidRPr="00BD0410" w14:paraId="333D1E94"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8902EF1"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Estonie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E65D22E" w14:textId="77777777" w:rsidR="009F66F5" w:rsidRPr="00BD0410" w:rsidRDefault="009F66F5" w:rsidP="006E51E1">
                  <w:pPr>
                    <w:spacing w:after="0" w:line="240" w:lineRule="auto"/>
                    <w:rPr>
                      <w:rFonts w:eastAsia="Times New Roman" w:cstheme="minorHAnsi"/>
                      <w:color w:val="333333"/>
                      <w:sz w:val="20"/>
                      <w:szCs w:val="20"/>
                      <w:lang w:eastAsia="fr-FR"/>
                    </w:rPr>
                  </w:pPr>
                  <w:r w:rsidRPr="00BD0410">
                    <w:rPr>
                      <w:rFonts w:eastAsia="Times New Roman" w:cstheme="minorHAnsi"/>
                      <w:color w:val="333333"/>
                      <w:sz w:val="20"/>
                      <w:szCs w:val="20"/>
                      <w:lang w:eastAsia="fr-FR"/>
                    </w:rPr>
                    <w:t>(EE)</w:t>
                  </w:r>
                </w:p>
              </w:tc>
            </w:tr>
            <w:tr w:rsidR="009F66F5" w:rsidRPr="00BD0410" w14:paraId="3C4D883A"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5B5102AD"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Finlande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DE098AA" w14:textId="77777777" w:rsidR="009F66F5" w:rsidRPr="00BD0410" w:rsidRDefault="009F66F5" w:rsidP="006E51E1">
                  <w:pPr>
                    <w:spacing w:after="0" w:line="240" w:lineRule="auto"/>
                    <w:rPr>
                      <w:rFonts w:eastAsia="Times New Roman" w:cstheme="minorHAnsi"/>
                      <w:color w:val="333333"/>
                      <w:sz w:val="20"/>
                      <w:szCs w:val="20"/>
                      <w:lang w:eastAsia="fr-FR"/>
                    </w:rPr>
                  </w:pPr>
                  <w:r w:rsidRPr="00BD0410">
                    <w:rPr>
                      <w:rFonts w:eastAsia="Times New Roman" w:cstheme="minorHAnsi"/>
                      <w:color w:val="333333"/>
                      <w:sz w:val="20"/>
                      <w:szCs w:val="20"/>
                      <w:lang w:eastAsia="fr-FR"/>
                    </w:rPr>
                    <w:t>(FI)</w:t>
                  </w:r>
                </w:p>
              </w:tc>
            </w:tr>
            <w:tr w:rsidR="009F66F5" w:rsidRPr="00BD0410" w14:paraId="21F03551"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A2A5E9C"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Grèce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67C8466" w14:textId="77777777" w:rsidR="009F66F5" w:rsidRPr="00BD0410" w:rsidRDefault="009F66F5" w:rsidP="006E51E1">
                  <w:pPr>
                    <w:spacing w:after="0" w:line="240" w:lineRule="auto"/>
                    <w:rPr>
                      <w:rFonts w:eastAsia="Times New Roman" w:cstheme="minorHAnsi"/>
                      <w:color w:val="333333"/>
                      <w:sz w:val="20"/>
                      <w:szCs w:val="20"/>
                      <w:lang w:eastAsia="fr-FR"/>
                    </w:rPr>
                  </w:pPr>
                  <w:r w:rsidRPr="00BD0410">
                    <w:rPr>
                      <w:rFonts w:eastAsia="Times New Roman" w:cstheme="minorHAnsi"/>
                      <w:color w:val="333333"/>
                      <w:sz w:val="20"/>
                      <w:szCs w:val="20"/>
                      <w:lang w:eastAsia="fr-FR"/>
                    </w:rPr>
                    <w:t>(EL)</w:t>
                  </w:r>
                </w:p>
              </w:tc>
            </w:tr>
            <w:tr w:rsidR="009F66F5" w:rsidRPr="00A91E34" w14:paraId="7A745480"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3C6C555"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Hongrie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B8CFA8A"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(HU)</w:t>
                  </w:r>
                </w:p>
              </w:tc>
            </w:tr>
            <w:tr w:rsidR="009F66F5" w:rsidRPr="00BD0410" w14:paraId="1B46AF2D"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3398E0E"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Irlande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520B6C4D" w14:textId="77777777" w:rsidR="009F66F5" w:rsidRPr="00BD0410" w:rsidRDefault="009F66F5" w:rsidP="006E51E1">
                  <w:pPr>
                    <w:spacing w:after="0" w:line="240" w:lineRule="auto"/>
                    <w:rPr>
                      <w:rFonts w:eastAsia="Times New Roman" w:cstheme="minorHAnsi"/>
                      <w:color w:val="333333"/>
                      <w:sz w:val="20"/>
                      <w:szCs w:val="20"/>
                      <w:lang w:eastAsia="fr-FR"/>
                    </w:rPr>
                  </w:pPr>
                  <w:r w:rsidRPr="00BD0410">
                    <w:rPr>
                      <w:rFonts w:eastAsia="Times New Roman" w:cstheme="minorHAnsi"/>
                      <w:color w:val="333333"/>
                      <w:sz w:val="20"/>
                      <w:szCs w:val="20"/>
                      <w:lang w:eastAsia="fr-FR"/>
                    </w:rPr>
                    <w:t>(IE)</w:t>
                  </w:r>
                </w:p>
              </w:tc>
            </w:tr>
            <w:tr w:rsidR="009F66F5" w:rsidRPr="00A91E34" w14:paraId="34DB677D"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555194D"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Islande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CB84929"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(IS)</w:t>
                  </w:r>
                </w:p>
              </w:tc>
            </w:tr>
            <w:tr w:rsidR="009F66F5" w:rsidRPr="00A91E34" w14:paraId="606350A4"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2BCFA9A"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Italie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6E6D418"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(IT)</w:t>
                  </w:r>
                </w:p>
              </w:tc>
            </w:tr>
            <w:tr w:rsidR="002C5B28" w:rsidRPr="00565AF2" w14:paraId="53650587"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2946295"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Lettonie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196DB3A"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(LV)</w:t>
                  </w:r>
                </w:p>
              </w:tc>
            </w:tr>
            <w:tr w:rsidR="009F66F5" w:rsidRPr="00BD0410" w14:paraId="23740A6E"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1B8A81E"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Liechtenstein</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4163820"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(LI)</w:t>
                  </w:r>
                </w:p>
              </w:tc>
            </w:tr>
            <w:tr w:rsidR="002C5B28" w:rsidRPr="00565AF2" w14:paraId="395A8E00"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591F47E"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Lituanie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B5D678E"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(LT)</w:t>
                  </w:r>
                </w:p>
              </w:tc>
            </w:tr>
            <w:tr w:rsidR="002C5B28" w:rsidRPr="00565AF2" w14:paraId="51C0B5FD"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206608D"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Luxembourg</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9B2F729"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(LU)</w:t>
                  </w:r>
                </w:p>
              </w:tc>
            </w:tr>
            <w:tr w:rsidR="009F66F5" w:rsidRPr="00A91E34" w14:paraId="79F8A62E"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FEA9246"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Malte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4FA8622"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(MT)</w:t>
                  </w:r>
                </w:p>
              </w:tc>
            </w:tr>
            <w:tr w:rsidR="009F66F5" w:rsidRPr="00A91E34" w14:paraId="29BE0CFE"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3CD178F"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Norvège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E0D929B"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(NO)</w:t>
                  </w:r>
                </w:p>
              </w:tc>
            </w:tr>
            <w:tr w:rsidR="009F66F5" w:rsidRPr="00A91E34" w14:paraId="51707485"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530C3F20"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Pays-Bas</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7DE97C1"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(NL)</w:t>
                  </w:r>
                </w:p>
              </w:tc>
            </w:tr>
            <w:tr w:rsidR="002C5B28" w:rsidRPr="00565AF2" w14:paraId="72E964D1"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557253D"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Pologne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B3C49D6"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(PL)</w:t>
                  </w:r>
                </w:p>
              </w:tc>
            </w:tr>
            <w:tr w:rsidR="002C5B28" w:rsidRPr="00565AF2" w14:paraId="35B5869F"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ECD8A1A"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Portugal</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E38021B"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(PT)</w:t>
                  </w:r>
                </w:p>
              </w:tc>
            </w:tr>
            <w:tr w:rsidR="009F66F5" w:rsidRPr="00BD0410" w14:paraId="006EC216"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D31FB5A" w14:textId="77777777" w:rsidR="009F66F5" w:rsidRPr="00565AF2" w:rsidRDefault="009F66F5" w:rsidP="006E51E1">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République tchèque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1846DA2" w14:textId="77777777" w:rsidR="009F66F5" w:rsidRPr="00A91E34" w:rsidRDefault="009F66F5" w:rsidP="006E51E1">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(CZ)</w:t>
                  </w:r>
                </w:p>
              </w:tc>
            </w:tr>
            <w:tr w:rsidR="002C5B28" w:rsidRPr="00565AF2" w14:paraId="57B4661E"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FFA602D"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Roumanie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3484CBB"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(RO)</w:t>
                  </w:r>
                </w:p>
              </w:tc>
            </w:tr>
            <w:tr w:rsidR="002C5B28" w:rsidRPr="00565AF2" w14:paraId="2071CBDF"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EBE71FA"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Slovénie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B275EEF" w14:textId="77777777" w:rsidR="002C5B28" w:rsidRPr="00A91E34" w:rsidRDefault="002C5B28" w:rsidP="002C5B28">
                  <w:pPr>
                    <w:spacing w:after="0" w:line="240" w:lineRule="auto"/>
                    <w:rPr>
                      <w:rFonts w:eastAsia="Times New Roman" w:cstheme="minorHAnsi"/>
                      <w:sz w:val="20"/>
                      <w:szCs w:val="20"/>
                      <w:lang w:eastAsia="fr-FR"/>
                    </w:rPr>
                  </w:pPr>
                  <w:r w:rsidRPr="00A91E34">
                    <w:rPr>
                      <w:rFonts w:eastAsia="Times New Roman" w:cstheme="minorHAnsi"/>
                      <w:sz w:val="20"/>
                      <w:szCs w:val="20"/>
                      <w:lang w:eastAsia="fr-FR"/>
                    </w:rPr>
                    <w:t>(SI)</w:t>
                  </w:r>
                </w:p>
              </w:tc>
            </w:tr>
            <w:tr w:rsidR="002C5B28" w:rsidRPr="00565AF2" w14:paraId="2E3F3019"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B9BC75F"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Slovaquie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23C4C13" w14:textId="77777777" w:rsidR="002C5B28" w:rsidRPr="00B8626D" w:rsidRDefault="002C5B28" w:rsidP="002C5B28">
                  <w:pPr>
                    <w:spacing w:after="0" w:line="240" w:lineRule="auto"/>
                    <w:rPr>
                      <w:rFonts w:eastAsia="Times New Roman" w:cstheme="minorHAnsi"/>
                      <w:color w:val="333333"/>
                      <w:sz w:val="20"/>
                      <w:szCs w:val="20"/>
                      <w:lang w:eastAsia="fr-FR"/>
                    </w:rPr>
                  </w:pPr>
                  <w:r w:rsidRPr="00B8626D">
                    <w:rPr>
                      <w:rFonts w:eastAsia="Times New Roman" w:cstheme="minorHAnsi"/>
                      <w:color w:val="333333"/>
                      <w:sz w:val="20"/>
                      <w:szCs w:val="20"/>
                      <w:lang w:eastAsia="fr-FR"/>
                    </w:rPr>
                    <w:t>(SK)</w:t>
                  </w:r>
                </w:p>
              </w:tc>
            </w:tr>
            <w:tr w:rsidR="002C5B28" w:rsidRPr="00565AF2" w14:paraId="4C8B19A0"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A79F3E5" w14:textId="77777777" w:rsidR="002C5B28" w:rsidRPr="00565AF2" w:rsidRDefault="002C5B28" w:rsidP="002C5B28">
                  <w:pPr>
                    <w:spacing w:after="0" w:line="240" w:lineRule="auto"/>
                    <w:rPr>
                      <w:rFonts w:eastAsia="Times New Roman" w:cstheme="minorHAnsi"/>
                      <w:sz w:val="20"/>
                      <w:szCs w:val="20"/>
                      <w:lang w:eastAsia="fr-FR"/>
                    </w:rPr>
                  </w:pPr>
                  <w:r w:rsidRPr="00565AF2">
                    <w:rPr>
                      <w:rFonts w:eastAsia="Times New Roman" w:cstheme="minorHAnsi"/>
                      <w:sz w:val="20"/>
                      <w:szCs w:val="20"/>
                      <w:lang w:eastAsia="fr-FR"/>
                    </w:rPr>
                    <w:t>Suède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38E7E2B" w14:textId="77777777" w:rsidR="002C5B28" w:rsidRPr="00B8626D" w:rsidRDefault="002C5B28" w:rsidP="002C5B28">
                  <w:pPr>
                    <w:spacing w:after="0" w:line="240" w:lineRule="auto"/>
                    <w:rPr>
                      <w:rFonts w:eastAsia="Times New Roman" w:cstheme="minorHAnsi"/>
                      <w:color w:val="333333"/>
                      <w:sz w:val="20"/>
                      <w:szCs w:val="20"/>
                      <w:lang w:eastAsia="fr-FR"/>
                    </w:rPr>
                  </w:pPr>
                  <w:r w:rsidRPr="00B8626D">
                    <w:rPr>
                      <w:rFonts w:eastAsia="Times New Roman" w:cstheme="minorHAnsi"/>
                      <w:color w:val="333333"/>
                      <w:sz w:val="20"/>
                      <w:szCs w:val="20"/>
                      <w:lang w:eastAsia="fr-FR"/>
                    </w:rPr>
                    <w:t>(SE)</w:t>
                  </w:r>
                </w:p>
              </w:tc>
            </w:tr>
          </w:tbl>
          <w:p w14:paraId="27CE4075" w14:textId="00CB0790" w:rsidR="002C5B28" w:rsidRDefault="002C5B28" w:rsidP="00BA3CEE">
            <w:pPr>
              <w:rPr>
                <w:rFonts w:ascii="Cambria,Bold" w:hAnsi="Cambria,Bold" w:cs="Cambria,Bold"/>
                <w:b/>
                <w:bCs/>
                <w:color w:val="548DD4" w:themeColor="text2" w:themeTint="99"/>
                <w:sz w:val="24"/>
                <w:szCs w:val="24"/>
                <w:u w:val="single"/>
              </w:rPr>
            </w:pPr>
          </w:p>
        </w:tc>
      </w:tr>
    </w:tbl>
    <w:p w14:paraId="62CB2C2A" w14:textId="68384153" w:rsidR="002C5B28" w:rsidRDefault="002C5B28" w:rsidP="00BA3CEE">
      <w:pPr>
        <w:rPr>
          <w:rFonts w:ascii="Cambria,Bold" w:hAnsi="Cambria,Bold" w:cs="Cambria,Bold"/>
          <w:b/>
          <w:bCs/>
          <w:color w:val="548DD4" w:themeColor="text2" w:themeTint="99"/>
          <w:sz w:val="24"/>
          <w:szCs w:val="24"/>
          <w:u w:val="single"/>
        </w:rPr>
      </w:pPr>
    </w:p>
    <w:p w14:paraId="512F0DE1" w14:textId="77777777" w:rsidR="002C5B28" w:rsidRDefault="002C5B28" w:rsidP="00BA3CEE">
      <w:pPr>
        <w:rPr>
          <w:rFonts w:ascii="Cambria,Bold" w:hAnsi="Cambria,Bold" w:cs="Cambria,Bold"/>
          <w:b/>
          <w:bCs/>
          <w:color w:val="548DD4" w:themeColor="text2" w:themeTint="99"/>
          <w:sz w:val="24"/>
          <w:szCs w:val="24"/>
          <w:u w:val="single"/>
        </w:rPr>
      </w:pPr>
    </w:p>
    <w:p w14:paraId="33DCC811" w14:textId="4F3ED4FF" w:rsidR="00BA3CEE" w:rsidRDefault="00BA3CEE" w:rsidP="002C5B28">
      <w:pPr>
        <w:jc w:val="right"/>
        <w:rPr>
          <w:rFonts w:ascii="Cambria,Bold" w:hAnsi="Cambria,Bold" w:cs="Cambria,Bold"/>
          <w:b/>
          <w:bCs/>
          <w:color w:val="548DD4" w:themeColor="text2" w:themeTint="99"/>
          <w:sz w:val="24"/>
          <w:szCs w:val="24"/>
          <w:u w:val="single"/>
        </w:rPr>
      </w:pPr>
    </w:p>
    <w:p w14:paraId="338D9124" w14:textId="77777777" w:rsidR="007E4607" w:rsidRDefault="007E4607">
      <w:pPr>
        <w:rPr>
          <w:rFonts w:ascii="Cambria,Bold" w:hAnsi="Cambria,Bold" w:cs="Cambria,Bold"/>
          <w:b/>
          <w:bCs/>
          <w:color w:val="548DD4" w:themeColor="text2" w:themeTint="99"/>
          <w:sz w:val="24"/>
          <w:szCs w:val="24"/>
        </w:rPr>
      </w:pPr>
    </w:p>
    <w:p w14:paraId="5905EF83" w14:textId="77777777" w:rsidR="007E4607" w:rsidRPr="00AE5C3C" w:rsidRDefault="007E4607" w:rsidP="0054268E"/>
    <w:sectPr w:rsidR="007E4607" w:rsidRPr="00AE5C3C" w:rsidSect="00CD1EFC">
      <w:footerReference w:type="default" r:id="rId18"/>
      <w:pgSz w:w="11906" w:h="16838"/>
      <w:pgMar w:top="851" w:right="1274" w:bottom="1417" w:left="1417" w:header="708" w:footer="708" w:gutter="0"/>
      <w:pgBorders w:offsetFrom="page">
        <w:right w:val="single" w:sz="12" w:space="24" w:color="FFFFFF" w:themeColor="background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34777" w14:textId="77777777" w:rsidR="008F0EFE" w:rsidRDefault="008F0EFE" w:rsidP="00FD151D">
      <w:pPr>
        <w:spacing w:after="0" w:line="240" w:lineRule="auto"/>
      </w:pPr>
      <w:r>
        <w:separator/>
      </w:r>
    </w:p>
  </w:endnote>
  <w:endnote w:type="continuationSeparator" w:id="0">
    <w:p w14:paraId="67A3D52D" w14:textId="77777777" w:rsidR="008F0EFE" w:rsidRDefault="008F0EFE" w:rsidP="00FD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089359"/>
      <w:docPartObj>
        <w:docPartGallery w:val="Page Numbers (Bottom of Page)"/>
        <w:docPartUnique/>
      </w:docPartObj>
    </w:sdtPr>
    <w:sdtEndPr/>
    <w:sdtContent>
      <w:sdt>
        <w:sdtPr>
          <w:id w:val="860082579"/>
          <w:docPartObj>
            <w:docPartGallery w:val="Page Numbers (Top of Page)"/>
            <w:docPartUnique/>
          </w:docPartObj>
        </w:sdtPr>
        <w:sdtEndPr/>
        <w:sdtContent>
          <w:p w14:paraId="1968EF51" w14:textId="583B0016" w:rsidR="008F0EFE" w:rsidRDefault="008F0EF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AA2F13">
              <w:rPr>
                <w:b/>
                <w:bCs/>
                <w:noProof/>
              </w:rPr>
              <w:t>18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A2F13">
              <w:rPr>
                <w:b/>
                <w:bCs/>
                <w:noProof/>
              </w:rPr>
              <w:t>18</w:t>
            </w:r>
            <w:r>
              <w:rPr>
                <w:b/>
                <w:bCs/>
                <w:sz w:val="24"/>
                <w:szCs w:val="24"/>
              </w:rPr>
              <w:fldChar w:fldCharType="end"/>
            </w:r>
          </w:p>
        </w:sdtContent>
      </w:sdt>
    </w:sdtContent>
  </w:sdt>
  <w:p w14:paraId="69B1C420" w14:textId="77777777" w:rsidR="008F0EFE" w:rsidRDefault="008F0E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0DFF6" w14:textId="77777777" w:rsidR="008F0EFE" w:rsidRDefault="008F0EFE" w:rsidP="00FD151D">
      <w:pPr>
        <w:spacing w:after="0" w:line="240" w:lineRule="auto"/>
      </w:pPr>
      <w:r>
        <w:separator/>
      </w:r>
    </w:p>
  </w:footnote>
  <w:footnote w:type="continuationSeparator" w:id="0">
    <w:p w14:paraId="26CEEA32" w14:textId="77777777" w:rsidR="008F0EFE" w:rsidRDefault="008F0EFE" w:rsidP="00FD151D">
      <w:pPr>
        <w:spacing w:after="0" w:line="240" w:lineRule="auto"/>
      </w:pPr>
      <w:r>
        <w:continuationSeparator/>
      </w:r>
    </w:p>
  </w:footnote>
  <w:footnote w:id="1">
    <w:p w14:paraId="131CAC15" w14:textId="77777777" w:rsidR="008F0EFE" w:rsidRDefault="008F0EFE">
      <w:pPr>
        <w:pStyle w:val="Notedebasdepage"/>
      </w:pPr>
      <w:r>
        <w:rPr>
          <w:rStyle w:val="Appelnotedebasdep"/>
        </w:rPr>
        <w:footnoteRef/>
      </w:r>
      <w:r>
        <w:t xml:space="preserve"> Au sens autorisation et compensation.</w:t>
      </w:r>
    </w:p>
  </w:footnote>
  <w:footnote w:id="2">
    <w:p w14:paraId="4E026870" w14:textId="77777777" w:rsidR="008F0EFE" w:rsidRDefault="008F0EFE" w:rsidP="005A36C1">
      <w:pPr>
        <w:pStyle w:val="Notedebasdepage"/>
      </w:pPr>
      <w:r>
        <w:rPr>
          <w:rStyle w:val="Appelnotedebasdep"/>
        </w:rPr>
        <w:footnoteRef/>
      </w:r>
      <w:r>
        <w:t xml:space="preserve"> Modification de l’impression en relief du numéro de carte.</w:t>
      </w:r>
    </w:p>
  </w:footnote>
  <w:footnote w:id="3">
    <w:p w14:paraId="4D6D5D1D" w14:textId="77777777" w:rsidR="008F0EFE" w:rsidRDefault="008F0EFE" w:rsidP="005A36C1">
      <w:pPr>
        <w:pStyle w:val="Notedebasdepage"/>
      </w:pPr>
      <w:r>
        <w:rPr>
          <w:rStyle w:val="Appelnotedebasdep"/>
        </w:rPr>
        <w:footnoteRef/>
      </w:r>
      <w:r>
        <w:t xml:space="preserve"> Technique de fraude consistant à utiliser les règles, propres à un émetteur, de création de numéros de carte pour générer de tels numéros.</w:t>
      </w:r>
    </w:p>
  </w:footnote>
  <w:footnote w:id="4">
    <w:p w14:paraId="779A05DC" w14:textId="77777777" w:rsidR="008F0EFE" w:rsidRDefault="008F0EFE">
      <w:pPr>
        <w:pStyle w:val="Notedebasdepage"/>
      </w:pPr>
      <w:r>
        <w:rPr>
          <w:rStyle w:val="Appelnotedebasdep"/>
        </w:rPr>
        <w:footnoteRef/>
      </w:r>
      <w:r>
        <w:t xml:space="preserve"> Au sens autorisation et compensation.</w:t>
      </w:r>
    </w:p>
  </w:footnote>
  <w:footnote w:id="5">
    <w:p w14:paraId="7B569344" w14:textId="6FD2B4F6" w:rsidR="008F0EFE" w:rsidRDefault="008F0EFE">
      <w:pPr>
        <w:pStyle w:val="Notedebasdepage"/>
      </w:pPr>
      <w:r>
        <w:rPr>
          <w:rStyle w:val="Appelnotedebasdep"/>
        </w:rPr>
        <w:footnoteRef/>
      </w:r>
      <w:r>
        <w:t xml:space="preserve"> Les autres collectivités d’outre-mer (Polynésie française, Wallis et Futuna) et la Nouvelle-Calédonie, qui ne sont pas membres de l’Union européenne, ne font pas partie de la zone France.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EEA"/>
    <w:multiLevelType w:val="hybridMultilevel"/>
    <w:tmpl w:val="22021F4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74729F"/>
    <w:multiLevelType w:val="hybridMultilevel"/>
    <w:tmpl w:val="F93E5482"/>
    <w:lvl w:ilvl="0" w:tplc="35788420">
      <w:start w:val="1"/>
      <w:numFmt w:val="bullet"/>
      <w:lvlText w:val=""/>
      <w:lvlJc w:val="left"/>
      <w:pPr>
        <w:ind w:left="720" w:hanging="360"/>
      </w:pPr>
      <w:rPr>
        <w:rFonts w:ascii="Symbol" w:hAnsi="Symbol" w:hint="default"/>
        <w:color w:val="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020F9"/>
    <w:multiLevelType w:val="hybridMultilevel"/>
    <w:tmpl w:val="D76CDDC2"/>
    <w:lvl w:ilvl="0" w:tplc="120CBC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14EDE"/>
    <w:multiLevelType w:val="hybridMultilevel"/>
    <w:tmpl w:val="E5D6ECD6"/>
    <w:lvl w:ilvl="0" w:tplc="5D144F84">
      <w:start w:val="1"/>
      <w:numFmt w:val="decimal"/>
      <w:lvlText w:val="%1."/>
      <w:lvlJc w:val="left"/>
      <w:pPr>
        <w:ind w:left="720" w:hanging="360"/>
      </w:pPr>
      <w:rPr>
        <w:rFonts w:ascii="Cambria,Bold" w:hAnsi="Cambria,Bold" w:cs="Cambria,Bold" w:hint="default"/>
        <w:b/>
        <w:color w:val="1F497D"/>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B8486F"/>
    <w:multiLevelType w:val="hybridMultilevel"/>
    <w:tmpl w:val="912E0582"/>
    <w:lvl w:ilvl="0" w:tplc="35788420">
      <w:start w:val="1"/>
      <w:numFmt w:val="bullet"/>
      <w:lvlText w:val=""/>
      <w:lvlJc w:val="left"/>
      <w:pPr>
        <w:ind w:left="720" w:hanging="360"/>
      </w:pPr>
      <w:rPr>
        <w:rFonts w:ascii="Symbol" w:hAnsi="Symbol" w:hint="default"/>
        <w:color w:val="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901E99"/>
    <w:multiLevelType w:val="hybridMultilevel"/>
    <w:tmpl w:val="276CDE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303D5E"/>
    <w:multiLevelType w:val="hybridMultilevel"/>
    <w:tmpl w:val="F280C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665E5"/>
    <w:multiLevelType w:val="hybridMultilevel"/>
    <w:tmpl w:val="A702878C"/>
    <w:lvl w:ilvl="0" w:tplc="5A1C69C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31D91929"/>
    <w:multiLevelType w:val="multilevel"/>
    <w:tmpl w:val="D4FEA93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2D1A80"/>
    <w:multiLevelType w:val="hybridMultilevel"/>
    <w:tmpl w:val="9272ADF4"/>
    <w:lvl w:ilvl="0" w:tplc="C4824432">
      <w:start w:val="4"/>
      <w:numFmt w:val="bullet"/>
      <w:lvlText w:val="-"/>
      <w:lvlJc w:val="left"/>
      <w:pPr>
        <w:ind w:left="720" w:hanging="360"/>
      </w:pPr>
      <w:rPr>
        <w:rFonts w:ascii="Calibri" w:eastAsiaTheme="minorHAnsi" w:hAnsi="Calibri" w:cstheme="minorBidi"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A02CDA"/>
    <w:multiLevelType w:val="hybridMultilevel"/>
    <w:tmpl w:val="6C9032C4"/>
    <w:lvl w:ilvl="0" w:tplc="03866D4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AD00E9"/>
    <w:multiLevelType w:val="hybridMultilevel"/>
    <w:tmpl w:val="4F6C7818"/>
    <w:lvl w:ilvl="0" w:tplc="26C001CC">
      <w:start w:val="1"/>
      <w:numFmt w:val="decimal"/>
      <w:lvlText w:val="%1."/>
      <w:lvlJc w:val="left"/>
      <w:pPr>
        <w:ind w:left="720" w:hanging="360"/>
      </w:pPr>
      <w:rPr>
        <w:rFonts w:ascii="Cambria,Bold" w:hAnsi="Cambria,Bold" w:cs="Cambria,Bold"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A0521E"/>
    <w:multiLevelType w:val="hybridMultilevel"/>
    <w:tmpl w:val="36582180"/>
    <w:lvl w:ilvl="0" w:tplc="CD2A6D1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5B361A"/>
    <w:multiLevelType w:val="hybridMultilevel"/>
    <w:tmpl w:val="91A276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9C6C44"/>
    <w:multiLevelType w:val="hybridMultilevel"/>
    <w:tmpl w:val="B70E2FD2"/>
    <w:lvl w:ilvl="0" w:tplc="EC54009C">
      <w:start w:val="232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5390121F"/>
    <w:multiLevelType w:val="multilevel"/>
    <w:tmpl w:val="C7C8F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DF3DC6"/>
    <w:multiLevelType w:val="hybridMultilevel"/>
    <w:tmpl w:val="8AB82240"/>
    <w:lvl w:ilvl="0" w:tplc="34A4BFE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540A5F"/>
    <w:multiLevelType w:val="hybridMultilevel"/>
    <w:tmpl w:val="143827FA"/>
    <w:lvl w:ilvl="0" w:tplc="F8125D42">
      <w:start w:val="3"/>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69E07E34"/>
    <w:multiLevelType w:val="hybridMultilevel"/>
    <w:tmpl w:val="B98E2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40309D"/>
    <w:multiLevelType w:val="hybridMultilevel"/>
    <w:tmpl w:val="58505982"/>
    <w:lvl w:ilvl="0" w:tplc="41FA86A8">
      <w:start w:val="1"/>
      <w:numFmt w:val="bullet"/>
      <w:lvlText w:val="•"/>
      <w:lvlJc w:val="left"/>
      <w:pPr>
        <w:tabs>
          <w:tab w:val="num" w:pos="720"/>
        </w:tabs>
        <w:ind w:left="720" w:hanging="360"/>
      </w:pPr>
      <w:rPr>
        <w:rFonts w:ascii="Times New Roman" w:hAnsi="Times New Roman" w:hint="default"/>
      </w:rPr>
    </w:lvl>
    <w:lvl w:ilvl="1" w:tplc="85EAE2C2">
      <w:start w:val="458"/>
      <w:numFmt w:val="bullet"/>
      <w:lvlText w:val="–"/>
      <w:lvlJc w:val="left"/>
      <w:pPr>
        <w:tabs>
          <w:tab w:val="num" w:pos="1440"/>
        </w:tabs>
        <w:ind w:left="1440" w:hanging="360"/>
      </w:pPr>
      <w:rPr>
        <w:rFonts w:ascii="Times New Roman" w:hAnsi="Times New Roman" w:hint="default"/>
      </w:rPr>
    </w:lvl>
    <w:lvl w:ilvl="2" w:tplc="E940D7D8" w:tentative="1">
      <w:start w:val="1"/>
      <w:numFmt w:val="bullet"/>
      <w:lvlText w:val="•"/>
      <w:lvlJc w:val="left"/>
      <w:pPr>
        <w:tabs>
          <w:tab w:val="num" w:pos="2160"/>
        </w:tabs>
        <w:ind w:left="2160" w:hanging="360"/>
      </w:pPr>
      <w:rPr>
        <w:rFonts w:ascii="Times New Roman" w:hAnsi="Times New Roman" w:hint="default"/>
      </w:rPr>
    </w:lvl>
    <w:lvl w:ilvl="3" w:tplc="18E0D304" w:tentative="1">
      <w:start w:val="1"/>
      <w:numFmt w:val="bullet"/>
      <w:lvlText w:val="•"/>
      <w:lvlJc w:val="left"/>
      <w:pPr>
        <w:tabs>
          <w:tab w:val="num" w:pos="2880"/>
        </w:tabs>
        <w:ind w:left="2880" w:hanging="360"/>
      </w:pPr>
      <w:rPr>
        <w:rFonts w:ascii="Times New Roman" w:hAnsi="Times New Roman" w:hint="default"/>
      </w:rPr>
    </w:lvl>
    <w:lvl w:ilvl="4" w:tplc="001A514E" w:tentative="1">
      <w:start w:val="1"/>
      <w:numFmt w:val="bullet"/>
      <w:lvlText w:val="•"/>
      <w:lvlJc w:val="left"/>
      <w:pPr>
        <w:tabs>
          <w:tab w:val="num" w:pos="3600"/>
        </w:tabs>
        <w:ind w:left="3600" w:hanging="360"/>
      </w:pPr>
      <w:rPr>
        <w:rFonts w:ascii="Times New Roman" w:hAnsi="Times New Roman" w:hint="default"/>
      </w:rPr>
    </w:lvl>
    <w:lvl w:ilvl="5" w:tplc="7280356C" w:tentative="1">
      <w:start w:val="1"/>
      <w:numFmt w:val="bullet"/>
      <w:lvlText w:val="•"/>
      <w:lvlJc w:val="left"/>
      <w:pPr>
        <w:tabs>
          <w:tab w:val="num" w:pos="4320"/>
        </w:tabs>
        <w:ind w:left="4320" w:hanging="360"/>
      </w:pPr>
      <w:rPr>
        <w:rFonts w:ascii="Times New Roman" w:hAnsi="Times New Roman" w:hint="default"/>
      </w:rPr>
    </w:lvl>
    <w:lvl w:ilvl="6" w:tplc="C69CD646" w:tentative="1">
      <w:start w:val="1"/>
      <w:numFmt w:val="bullet"/>
      <w:lvlText w:val="•"/>
      <w:lvlJc w:val="left"/>
      <w:pPr>
        <w:tabs>
          <w:tab w:val="num" w:pos="5040"/>
        </w:tabs>
        <w:ind w:left="5040" w:hanging="360"/>
      </w:pPr>
      <w:rPr>
        <w:rFonts w:ascii="Times New Roman" w:hAnsi="Times New Roman" w:hint="default"/>
      </w:rPr>
    </w:lvl>
    <w:lvl w:ilvl="7" w:tplc="D69E1502" w:tentative="1">
      <w:start w:val="1"/>
      <w:numFmt w:val="bullet"/>
      <w:lvlText w:val="•"/>
      <w:lvlJc w:val="left"/>
      <w:pPr>
        <w:tabs>
          <w:tab w:val="num" w:pos="5760"/>
        </w:tabs>
        <w:ind w:left="5760" w:hanging="360"/>
      </w:pPr>
      <w:rPr>
        <w:rFonts w:ascii="Times New Roman" w:hAnsi="Times New Roman" w:hint="default"/>
      </w:rPr>
    </w:lvl>
    <w:lvl w:ilvl="8" w:tplc="5C4A05E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991ECA"/>
    <w:multiLevelType w:val="hybridMultilevel"/>
    <w:tmpl w:val="251C0014"/>
    <w:lvl w:ilvl="0" w:tplc="4A6ECB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6"/>
  </w:num>
  <w:num w:numId="4">
    <w:abstractNumId w:val="4"/>
  </w:num>
  <w:num w:numId="5">
    <w:abstractNumId w:val="7"/>
  </w:num>
  <w:num w:numId="6">
    <w:abstractNumId w:val="13"/>
  </w:num>
  <w:num w:numId="7">
    <w:abstractNumId w:val="6"/>
  </w:num>
  <w:num w:numId="8">
    <w:abstractNumId w:val="14"/>
  </w:num>
  <w:num w:numId="9">
    <w:abstractNumId w:val="8"/>
  </w:num>
  <w:num w:numId="10">
    <w:abstractNumId w:val="15"/>
  </w:num>
  <w:num w:numId="11">
    <w:abstractNumId w:val="10"/>
  </w:num>
  <w:num w:numId="12">
    <w:abstractNumId w:val="1"/>
  </w:num>
  <w:num w:numId="13">
    <w:abstractNumId w:val="18"/>
  </w:num>
  <w:num w:numId="14">
    <w:abstractNumId w:val="21"/>
  </w:num>
  <w:num w:numId="15">
    <w:abstractNumId w:val="0"/>
  </w:num>
  <w:num w:numId="16">
    <w:abstractNumId w:val="19"/>
  </w:num>
  <w:num w:numId="17">
    <w:abstractNumId w:val="11"/>
  </w:num>
  <w:num w:numId="18">
    <w:abstractNumId w:val="9"/>
  </w:num>
  <w:num w:numId="19">
    <w:abstractNumId w:val="12"/>
  </w:num>
  <w:num w:numId="20">
    <w:abstractNumId w:val="17"/>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A7"/>
    <w:rsid w:val="00007D92"/>
    <w:rsid w:val="00020CEA"/>
    <w:rsid w:val="00020D1F"/>
    <w:rsid w:val="00023618"/>
    <w:rsid w:val="00023851"/>
    <w:rsid w:val="00032F2C"/>
    <w:rsid w:val="0003646D"/>
    <w:rsid w:val="00046825"/>
    <w:rsid w:val="000513FB"/>
    <w:rsid w:val="0005387A"/>
    <w:rsid w:val="0006000D"/>
    <w:rsid w:val="00060B86"/>
    <w:rsid w:val="0006424D"/>
    <w:rsid w:val="00070B71"/>
    <w:rsid w:val="00074E0B"/>
    <w:rsid w:val="000846F6"/>
    <w:rsid w:val="000A4A50"/>
    <w:rsid w:val="000B5DB4"/>
    <w:rsid w:val="000C1B41"/>
    <w:rsid w:val="000C23C2"/>
    <w:rsid w:val="000D7A73"/>
    <w:rsid w:val="000F3F38"/>
    <w:rsid w:val="00100766"/>
    <w:rsid w:val="0010111B"/>
    <w:rsid w:val="0011288F"/>
    <w:rsid w:val="001141B0"/>
    <w:rsid w:val="00132484"/>
    <w:rsid w:val="00134482"/>
    <w:rsid w:val="001363AC"/>
    <w:rsid w:val="00143A66"/>
    <w:rsid w:val="0015531A"/>
    <w:rsid w:val="00164C87"/>
    <w:rsid w:val="0016531D"/>
    <w:rsid w:val="00165CD4"/>
    <w:rsid w:val="001670D7"/>
    <w:rsid w:val="001752B5"/>
    <w:rsid w:val="001825DB"/>
    <w:rsid w:val="00184550"/>
    <w:rsid w:val="001913B2"/>
    <w:rsid w:val="001A38A3"/>
    <w:rsid w:val="001A7782"/>
    <w:rsid w:val="001C38E0"/>
    <w:rsid w:val="001D3A35"/>
    <w:rsid w:val="001D5227"/>
    <w:rsid w:val="001D7444"/>
    <w:rsid w:val="001F662F"/>
    <w:rsid w:val="00215ADF"/>
    <w:rsid w:val="00231C6E"/>
    <w:rsid w:val="00240EFF"/>
    <w:rsid w:val="00241C38"/>
    <w:rsid w:val="00257483"/>
    <w:rsid w:val="00263F5C"/>
    <w:rsid w:val="002700B4"/>
    <w:rsid w:val="00280D8F"/>
    <w:rsid w:val="002823D1"/>
    <w:rsid w:val="00282A06"/>
    <w:rsid w:val="00287DEB"/>
    <w:rsid w:val="0029299B"/>
    <w:rsid w:val="00294EC8"/>
    <w:rsid w:val="002A4C86"/>
    <w:rsid w:val="002B4213"/>
    <w:rsid w:val="002C5B28"/>
    <w:rsid w:val="002D1656"/>
    <w:rsid w:val="002D49FB"/>
    <w:rsid w:val="002E173C"/>
    <w:rsid w:val="002E3808"/>
    <w:rsid w:val="002E63A4"/>
    <w:rsid w:val="002E6800"/>
    <w:rsid w:val="002F1174"/>
    <w:rsid w:val="00310446"/>
    <w:rsid w:val="00314637"/>
    <w:rsid w:val="00333397"/>
    <w:rsid w:val="0034453C"/>
    <w:rsid w:val="003561B0"/>
    <w:rsid w:val="00356B1E"/>
    <w:rsid w:val="00373697"/>
    <w:rsid w:val="00383FB7"/>
    <w:rsid w:val="003A420D"/>
    <w:rsid w:val="003A5760"/>
    <w:rsid w:val="003A5B61"/>
    <w:rsid w:val="003C14A8"/>
    <w:rsid w:val="003C64F0"/>
    <w:rsid w:val="003D5BEB"/>
    <w:rsid w:val="003D64CF"/>
    <w:rsid w:val="003D6BE3"/>
    <w:rsid w:val="004020B5"/>
    <w:rsid w:val="004163A9"/>
    <w:rsid w:val="00426525"/>
    <w:rsid w:val="00426E74"/>
    <w:rsid w:val="00427154"/>
    <w:rsid w:val="004365A5"/>
    <w:rsid w:val="0043681B"/>
    <w:rsid w:val="00440B20"/>
    <w:rsid w:val="00451D9E"/>
    <w:rsid w:val="00456B62"/>
    <w:rsid w:val="00460704"/>
    <w:rsid w:val="00465031"/>
    <w:rsid w:val="004708AD"/>
    <w:rsid w:val="004732ED"/>
    <w:rsid w:val="00473E96"/>
    <w:rsid w:val="0047595B"/>
    <w:rsid w:val="0048212A"/>
    <w:rsid w:val="00482A11"/>
    <w:rsid w:val="00495B7F"/>
    <w:rsid w:val="004978E1"/>
    <w:rsid w:val="004C5924"/>
    <w:rsid w:val="004D53B3"/>
    <w:rsid w:val="004E5EED"/>
    <w:rsid w:val="004E7EC1"/>
    <w:rsid w:val="004F3774"/>
    <w:rsid w:val="004F55EE"/>
    <w:rsid w:val="004F61C5"/>
    <w:rsid w:val="005032EA"/>
    <w:rsid w:val="00504AF2"/>
    <w:rsid w:val="005252A0"/>
    <w:rsid w:val="00525878"/>
    <w:rsid w:val="00527DFA"/>
    <w:rsid w:val="00531DC7"/>
    <w:rsid w:val="00532246"/>
    <w:rsid w:val="00533933"/>
    <w:rsid w:val="005422DE"/>
    <w:rsid w:val="0054268E"/>
    <w:rsid w:val="00550B8F"/>
    <w:rsid w:val="00555C2C"/>
    <w:rsid w:val="00556675"/>
    <w:rsid w:val="0056121F"/>
    <w:rsid w:val="005623AD"/>
    <w:rsid w:val="00563B58"/>
    <w:rsid w:val="00565AF2"/>
    <w:rsid w:val="00566D0A"/>
    <w:rsid w:val="0056710C"/>
    <w:rsid w:val="005769FB"/>
    <w:rsid w:val="005A36C1"/>
    <w:rsid w:val="005A459A"/>
    <w:rsid w:val="005A5FE3"/>
    <w:rsid w:val="005A68F6"/>
    <w:rsid w:val="005B346D"/>
    <w:rsid w:val="005C2877"/>
    <w:rsid w:val="005C61E0"/>
    <w:rsid w:val="005E3CC1"/>
    <w:rsid w:val="005F44FE"/>
    <w:rsid w:val="005F5861"/>
    <w:rsid w:val="00601DCE"/>
    <w:rsid w:val="00605EF0"/>
    <w:rsid w:val="00614AE9"/>
    <w:rsid w:val="00625682"/>
    <w:rsid w:val="00627359"/>
    <w:rsid w:val="00630987"/>
    <w:rsid w:val="00632894"/>
    <w:rsid w:val="00633383"/>
    <w:rsid w:val="00634003"/>
    <w:rsid w:val="00636F65"/>
    <w:rsid w:val="006511B8"/>
    <w:rsid w:val="00655B73"/>
    <w:rsid w:val="00674A63"/>
    <w:rsid w:val="00690A7C"/>
    <w:rsid w:val="006B1F81"/>
    <w:rsid w:val="006B571E"/>
    <w:rsid w:val="006C0DFD"/>
    <w:rsid w:val="006D2AB2"/>
    <w:rsid w:val="006D3C0D"/>
    <w:rsid w:val="006D5465"/>
    <w:rsid w:val="006E1157"/>
    <w:rsid w:val="006E51E1"/>
    <w:rsid w:val="006E57A9"/>
    <w:rsid w:val="006F107B"/>
    <w:rsid w:val="006F4247"/>
    <w:rsid w:val="006F4546"/>
    <w:rsid w:val="00701664"/>
    <w:rsid w:val="00703A12"/>
    <w:rsid w:val="00704767"/>
    <w:rsid w:val="00704DF8"/>
    <w:rsid w:val="00711167"/>
    <w:rsid w:val="00717D8F"/>
    <w:rsid w:val="0072005E"/>
    <w:rsid w:val="00734610"/>
    <w:rsid w:val="0073756E"/>
    <w:rsid w:val="007414CF"/>
    <w:rsid w:val="0075281C"/>
    <w:rsid w:val="00760780"/>
    <w:rsid w:val="00762C60"/>
    <w:rsid w:val="0077158F"/>
    <w:rsid w:val="00773C70"/>
    <w:rsid w:val="0078070D"/>
    <w:rsid w:val="0078544F"/>
    <w:rsid w:val="007961DA"/>
    <w:rsid w:val="007A2509"/>
    <w:rsid w:val="007A5DC7"/>
    <w:rsid w:val="007B315F"/>
    <w:rsid w:val="007C0F4A"/>
    <w:rsid w:val="007C2DBE"/>
    <w:rsid w:val="007C4F9E"/>
    <w:rsid w:val="007D0E75"/>
    <w:rsid w:val="007D1664"/>
    <w:rsid w:val="007D4469"/>
    <w:rsid w:val="007E1AD7"/>
    <w:rsid w:val="007E4607"/>
    <w:rsid w:val="007E729F"/>
    <w:rsid w:val="007F06C4"/>
    <w:rsid w:val="007F0F56"/>
    <w:rsid w:val="008008DC"/>
    <w:rsid w:val="008018AC"/>
    <w:rsid w:val="0080288C"/>
    <w:rsid w:val="008067C0"/>
    <w:rsid w:val="008150D8"/>
    <w:rsid w:val="00823BD8"/>
    <w:rsid w:val="00823DC8"/>
    <w:rsid w:val="008413A4"/>
    <w:rsid w:val="00862AAA"/>
    <w:rsid w:val="008653E0"/>
    <w:rsid w:val="00867395"/>
    <w:rsid w:val="00885373"/>
    <w:rsid w:val="00885647"/>
    <w:rsid w:val="00886D12"/>
    <w:rsid w:val="008A42FB"/>
    <w:rsid w:val="008B23DD"/>
    <w:rsid w:val="008C5B89"/>
    <w:rsid w:val="008C5E79"/>
    <w:rsid w:val="008D165F"/>
    <w:rsid w:val="008E39B3"/>
    <w:rsid w:val="008F0EFE"/>
    <w:rsid w:val="00922F81"/>
    <w:rsid w:val="009470ED"/>
    <w:rsid w:val="00953342"/>
    <w:rsid w:val="0095453F"/>
    <w:rsid w:val="0097386B"/>
    <w:rsid w:val="009839C5"/>
    <w:rsid w:val="00986F43"/>
    <w:rsid w:val="00991EA9"/>
    <w:rsid w:val="009A56B2"/>
    <w:rsid w:val="009B1945"/>
    <w:rsid w:val="009B22C3"/>
    <w:rsid w:val="009D0C4A"/>
    <w:rsid w:val="009D7EDE"/>
    <w:rsid w:val="009E25B4"/>
    <w:rsid w:val="009E5CF5"/>
    <w:rsid w:val="009E7E71"/>
    <w:rsid w:val="009F52FB"/>
    <w:rsid w:val="009F6546"/>
    <w:rsid w:val="009F66F5"/>
    <w:rsid w:val="00A2429F"/>
    <w:rsid w:val="00A33069"/>
    <w:rsid w:val="00A33412"/>
    <w:rsid w:val="00A4748C"/>
    <w:rsid w:val="00A60E69"/>
    <w:rsid w:val="00A60E76"/>
    <w:rsid w:val="00A722B0"/>
    <w:rsid w:val="00A77830"/>
    <w:rsid w:val="00A91E34"/>
    <w:rsid w:val="00A96900"/>
    <w:rsid w:val="00AA1A0C"/>
    <w:rsid w:val="00AA2F13"/>
    <w:rsid w:val="00AB01D4"/>
    <w:rsid w:val="00AB3FCA"/>
    <w:rsid w:val="00AC13C9"/>
    <w:rsid w:val="00AC39E9"/>
    <w:rsid w:val="00AD35E3"/>
    <w:rsid w:val="00AE0BE1"/>
    <w:rsid w:val="00AE5C3C"/>
    <w:rsid w:val="00AF3461"/>
    <w:rsid w:val="00AF6C20"/>
    <w:rsid w:val="00B02CD6"/>
    <w:rsid w:val="00B03853"/>
    <w:rsid w:val="00B05F89"/>
    <w:rsid w:val="00B07630"/>
    <w:rsid w:val="00B1476A"/>
    <w:rsid w:val="00B26E0A"/>
    <w:rsid w:val="00B33CF4"/>
    <w:rsid w:val="00B346A8"/>
    <w:rsid w:val="00B36410"/>
    <w:rsid w:val="00B46CE4"/>
    <w:rsid w:val="00B53123"/>
    <w:rsid w:val="00B567E0"/>
    <w:rsid w:val="00B61780"/>
    <w:rsid w:val="00B646C3"/>
    <w:rsid w:val="00B6564A"/>
    <w:rsid w:val="00B670C2"/>
    <w:rsid w:val="00B71BB3"/>
    <w:rsid w:val="00B72BD1"/>
    <w:rsid w:val="00B76721"/>
    <w:rsid w:val="00B77B8D"/>
    <w:rsid w:val="00B81B97"/>
    <w:rsid w:val="00B84667"/>
    <w:rsid w:val="00B8626D"/>
    <w:rsid w:val="00B87799"/>
    <w:rsid w:val="00B95D10"/>
    <w:rsid w:val="00BA3CEE"/>
    <w:rsid w:val="00BA75F7"/>
    <w:rsid w:val="00BB6743"/>
    <w:rsid w:val="00BC3445"/>
    <w:rsid w:val="00BC590D"/>
    <w:rsid w:val="00BE0301"/>
    <w:rsid w:val="00BE7ED9"/>
    <w:rsid w:val="00BF2384"/>
    <w:rsid w:val="00C059D3"/>
    <w:rsid w:val="00C147D7"/>
    <w:rsid w:val="00C16129"/>
    <w:rsid w:val="00C33810"/>
    <w:rsid w:val="00C343AE"/>
    <w:rsid w:val="00C374E1"/>
    <w:rsid w:val="00C40BB6"/>
    <w:rsid w:val="00C411D2"/>
    <w:rsid w:val="00C41791"/>
    <w:rsid w:val="00C4222D"/>
    <w:rsid w:val="00C44E93"/>
    <w:rsid w:val="00C46B10"/>
    <w:rsid w:val="00C51D75"/>
    <w:rsid w:val="00C5609F"/>
    <w:rsid w:val="00C64E5A"/>
    <w:rsid w:val="00C828C7"/>
    <w:rsid w:val="00C90372"/>
    <w:rsid w:val="00C959B6"/>
    <w:rsid w:val="00CA78E5"/>
    <w:rsid w:val="00CB0367"/>
    <w:rsid w:val="00CB0FC9"/>
    <w:rsid w:val="00CB1D23"/>
    <w:rsid w:val="00CB4C7D"/>
    <w:rsid w:val="00CC261D"/>
    <w:rsid w:val="00CC4E38"/>
    <w:rsid w:val="00CD1EFC"/>
    <w:rsid w:val="00CD7FF3"/>
    <w:rsid w:val="00CE0926"/>
    <w:rsid w:val="00CE26CD"/>
    <w:rsid w:val="00CE318D"/>
    <w:rsid w:val="00D007B8"/>
    <w:rsid w:val="00D10133"/>
    <w:rsid w:val="00D20E5D"/>
    <w:rsid w:val="00D3102C"/>
    <w:rsid w:val="00D34BCC"/>
    <w:rsid w:val="00D36F30"/>
    <w:rsid w:val="00D40D35"/>
    <w:rsid w:val="00D42580"/>
    <w:rsid w:val="00D447D2"/>
    <w:rsid w:val="00D51199"/>
    <w:rsid w:val="00D65541"/>
    <w:rsid w:val="00D821F0"/>
    <w:rsid w:val="00D935EF"/>
    <w:rsid w:val="00DA1F2F"/>
    <w:rsid w:val="00DA7026"/>
    <w:rsid w:val="00DB3037"/>
    <w:rsid w:val="00DD1CE2"/>
    <w:rsid w:val="00DD1DF0"/>
    <w:rsid w:val="00DD2E49"/>
    <w:rsid w:val="00DE09B7"/>
    <w:rsid w:val="00DE4372"/>
    <w:rsid w:val="00DE5EF3"/>
    <w:rsid w:val="00DE67D1"/>
    <w:rsid w:val="00DE6F05"/>
    <w:rsid w:val="00DF1E6E"/>
    <w:rsid w:val="00DF7D45"/>
    <w:rsid w:val="00E05518"/>
    <w:rsid w:val="00E077A7"/>
    <w:rsid w:val="00E15290"/>
    <w:rsid w:val="00E15E10"/>
    <w:rsid w:val="00E16CE6"/>
    <w:rsid w:val="00E23DFC"/>
    <w:rsid w:val="00E317AA"/>
    <w:rsid w:val="00E3248E"/>
    <w:rsid w:val="00E34DB1"/>
    <w:rsid w:val="00E41C7B"/>
    <w:rsid w:val="00E4596F"/>
    <w:rsid w:val="00E466CD"/>
    <w:rsid w:val="00E81EE4"/>
    <w:rsid w:val="00E86322"/>
    <w:rsid w:val="00E96D7B"/>
    <w:rsid w:val="00EA19C8"/>
    <w:rsid w:val="00EB3147"/>
    <w:rsid w:val="00EE46E8"/>
    <w:rsid w:val="00EF14B7"/>
    <w:rsid w:val="00EF16EE"/>
    <w:rsid w:val="00EF22D8"/>
    <w:rsid w:val="00EF7FD4"/>
    <w:rsid w:val="00F02BB0"/>
    <w:rsid w:val="00F0345E"/>
    <w:rsid w:val="00F063CB"/>
    <w:rsid w:val="00F128C9"/>
    <w:rsid w:val="00F20BEE"/>
    <w:rsid w:val="00F23B38"/>
    <w:rsid w:val="00F265EE"/>
    <w:rsid w:val="00F3020E"/>
    <w:rsid w:val="00F35240"/>
    <w:rsid w:val="00F3531C"/>
    <w:rsid w:val="00F439B7"/>
    <w:rsid w:val="00F47412"/>
    <w:rsid w:val="00F70C41"/>
    <w:rsid w:val="00F80F66"/>
    <w:rsid w:val="00F90E27"/>
    <w:rsid w:val="00F93BCD"/>
    <w:rsid w:val="00FA7E5D"/>
    <w:rsid w:val="00FB574E"/>
    <w:rsid w:val="00FB623E"/>
    <w:rsid w:val="00FC61F3"/>
    <w:rsid w:val="00FD151D"/>
    <w:rsid w:val="00FD1A83"/>
    <w:rsid w:val="00FD47E4"/>
    <w:rsid w:val="00FE02D3"/>
    <w:rsid w:val="00FE4CC1"/>
    <w:rsid w:val="00FE5F26"/>
    <w:rsid w:val="00FF57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673C0AD"/>
  <w15:docId w15:val="{540EB09A-1844-44E6-BC4F-F4E43FE9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6B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6BE3"/>
    <w:rPr>
      <w:rFonts w:ascii="Tahoma" w:hAnsi="Tahoma" w:cs="Tahoma"/>
      <w:sz w:val="16"/>
      <w:szCs w:val="16"/>
    </w:rPr>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3D6BE3"/>
    <w:pPr>
      <w:ind w:left="720"/>
      <w:contextualSpacing/>
    </w:pPr>
  </w:style>
  <w:style w:type="character" w:styleId="Lienhypertexte">
    <w:name w:val="Hyperlink"/>
    <w:basedOn w:val="Policepardfaut"/>
    <w:uiPriority w:val="99"/>
    <w:unhideWhenUsed/>
    <w:rsid w:val="00AA1A0C"/>
    <w:rPr>
      <w:color w:val="0000FF"/>
      <w:u w:val="single"/>
    </w:rPr>
  </w:style>
  <w:style w:type="table" w:styleId="Grilledutableau">
    <w:name w:val="Table Grid"/>
    <w:basedOn w:val="TableauNormal"/>
    <w:rsid w:val="0055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D15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151D"/>
    <w:rPr>
      <w:sz w:val="20"/>
      <w:szCs w:val="20"/>
    </w:rPr>
  </w:style>
  <w:style w:type="character" w:styleId="Appelnotedebasdep">
    <w:name w:val="footnote reference"/>
    <w:basedOn w:val="Policepardfaut"/>
    <w:uiPriority w:val="99"/>
    <w:semiHidden/>
    <w:unhideWhenUsed/>
    <w:rsid w:val="00FD151D"/>
    <w:rPr>
      <w:vertAlign w:val="superscript"/>
    </w:rPr>
  </w:style>
  <w:style w:type="paragraph" w:styleId="En-tte">
    <w:name w:val="header"/>
    <w:basedOn w:val="Normal"/>
    <w:link w:val="En-tteCar"/>
    <w:uiPriority w:val="99"/>
    <w:unhideWhenUsed/>
    <w:rsid w:val="000A4A50"/>
    <w:pPr>
      <w:tabs>
        <w:tab w:val="center" w:pos="4536"/>
        <w:tab w:val="right" w:pos="9072"/>
      </w:tabs>
      <w:spacing w:after="0" w:line="240" w:lineRule="auto"/>
    </w:pPr>
  </w:style>
  <w:style w:type="character" w:customStyle="1" w:styleId="En-tteCar">
    <w:name w:val="En-tête Car"/>
    <w:basedOn w:val="Policepardfaut"/>
    <w:link w:val="En-tte"/>
    <w:uiPriority w:val="99"/>
    <w:rsid w:val="000A4A50"/>
  </w:style>
  <w:style w:type="paragraph" w:styleId="Pieddepage">
    <w:name w:val="footer"/>
    <w:basedOn w:val="Normal"/>
    <w:link w:val="PieddepageCar"/>
    <w:uiPriority w:val="99"/>
    <w:unhideWhenUsed/>
    <w:rsid w:val="000A4A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4A50"/>
  </w:style>
  <w:style w:type="character" w:styleId="Marquedecommentaire">
    <w:name w:val="annotation reference"/>
    <w:basedOn w:val="Policepardfaut"/>
    <w:uiPriority w:val="99"/>
    <w:semiHidden/>
    <w:unhideWhenUsed/>
    <w:rsid w:val="00527DFA"/>
    <w:rPr>
      <w:sz w:val="16"/>
      <w:szCs w:val="16"/>
    </w:rPr>
  </w:style>
  <w:style w:type="paragraph" w:styleId="Commentaire">
    <w:name w:val="annotation text"/>
    <w:basedOn w:val="Normal"/>
    <w:link w:val="CommentaireCar"/>
    <w:uiPriority w:val="99"/>
    <w:unhideWhenUsed/>
    <w:rsid w:val="00527DFA"/>
    <w:pPr>
      <w:spacing w:line="240" w:lineRule="auto"/>
    </w:pPr>
    <w:rPr>
      <w:sz w:val="20"/>
      <w:szCs w:val="20"/>
    </w:rPr>
  </w:style>
  <w:style w:type="character" w:customStyle="1" w:styleId="CommentaireCar">
    <w:name w:val="Commentaire Car"/>
    <w:basedOn w:val="Policepardfaut"/>
    <w:link w:val="Commentaire"/>
    <w:uiPriority w:val="99"/>
    <w:rsid w:val="00527DFA"/>
    <w:rPr>
      <w:sz w:val="20"/>
      <w:szCs w:val="20"/>
    </w:rPr>
  </w:style>
  <w:style w:type="paragraph" w:styleId="Objetducommentaire">
    <w:name w:val="annotation subject"/>
    <w:basedOn w:val="Commentaire"/>
    <w:next w:val="Commentaire"/>
    <w:link w:val="ObjetducommentaireCar"/>
    <w:uiPriority w:val="99"/>
    <w:semiHidden/>
    <w:unhideWhenUsed/>
    <w:rsid w:val="00527DFA"/>
    <w:rPr>
      <w:b/>
      <w:bCs/>
    </w:rPr>
  </w:style>
  <w:style w:type="character" w:customStyle="1" w:styleId="ObjetducommentaireCar">
    <w:name w:val="Objet du commentaire Car"/>
    <w:basedOn w:val="CommentaireCar"/>
    <w:link w:val="Objetducommentaire"/>
    <w:uiPriority w:val="99"/>
    <w:semiHidden/>
    <w:rsid w:val="00527DFA"/>
    <w:rPr>
      <w:b/>
      <w:bCs/>
      <w:sz w:val="20"/>
      <w:szCs w:val="20"/>
    </w:rPr>
  </w:style>
  <w:style w:type="character" w:styleId="Lienhypertextesuivivisit">
    <w:name w:val="FollowedHyperlink"/>
    <w:basedOn w:val="Policepardfaut"/>
    <w:uiPriority w:val="99"/>
    <w:semiHidden/>
    <w:unhideWhenUsed/>
    <w:rsid w:val="006B1F81"/>
    <w:rPr>
      <w:color w:val="800080" w:themeColor="followedHyperlink"/>
      <w:u w:val="single"/>
    </w:rPr>
  </w:style>
  <w:style w:type="paragraph" w:styleId="Rvision">
    <w:name w:val="Revision"/>
    <w:hidden/>
    <w:uiPriority w:val="99"/>
    <w:semiHidden/>
    <w:rsid w:val="00532246"/>
    <w:pPr>
      <w:spacing w:after="0" w:line="240" w:lineRule="auto"/>
    </w:p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D82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0996">
      <w:bodyDiv w:val="1"/>
      <w:marLeft w:val="0"/>
      <w:marRight w:val="0"/>
      <w:marTop w:val="0"/>
      <w:marBottom w:val="0"/>
      <w:divBdr>
        <w:top w:val="none" w:sz="0" w:space="0" w:color="auto"/>
        <w:left w:val="none" w:sz="0" w:space="0" w:color="auto"/>
        <w:bottom w:val="none" w:sz="0" w:space="0" w:color="auto"/>
        <w:right w:val="none" w:sz="0" w:space="0" w:color="auto"/>
      </w:divBdr>
    </w:div>
    <w:div w:id="203098340">
      <w:bodyDiv w:val="1"/>
      <w:marLeft w:val="0"/>
      <w:marRight w:val="0"/>
      <w:marTop w:val="0"/>
      <w:marBottom w:val="0"/>
      <w:divBdr>
        <w:top w:val="none" w:sz="0" w:space="0" w:color="auto"/>
        <w:left w:val="none" w:sz="0" w:space="0" w:color="auto"/>
        <w:bottom w:val="none" w:sz="0" w:space="0" w:color="auto"/>
        <w:right w:val="none" w:sz="0" w:space="0" w:color="auto"/>
      </w:divBdr>
    </w:div>
    <w:div w:id="210656461">
      <w:bodyDiv w:val="1"/>
      <w:marLeft w:val="0"/>
      <w:marRight w:val="0"/>
      <w:marTop w:val="0"/>
      <w:marBottom w:val="0"/>
      <w:divBdr>
        <w:top w:val="none" w:sz="0" w:space="0" w:color="auto"/>
        <w:left w:val="none" w:sz="0" w:space="0" w:color="auto"/>
        <w:bottom w:val="none" w:sz="0" w:space="0" w:color="auto"/>
        <w:right w:val="none" w:sz="0" w:space="0" w:color="auto"/>
      </w:divBdr>
    </w:div>
    <w:div w:id="251667784">
      <w:bodyDiv w:val="1"/>
      <w:marLeft w:val="0"/>
      <w:marRight w:val="0"/>
      <w:marTop w:val="0"/>
      <w:marBottom w:val="0"/>
      <w:divBdr>
        <w:top w:val="none" w:sz="0" w:space="0" w:color="auto"/>
        <w:left w:val="none" w:sz="0" w:space="0" w:color="auto"/>
        <w:bottom w:val="none" w:sz="0" w:space="0" w:color="auto"/>
        <w:right w:val="none" w:sz="0" w:space="0" w:color="auto"/>
      </w:divBdr>
    </w:div>
    <w:div w:id="409888976">
      <w:bodyDiv w:val="1"/>
      <w:marLeft w:val="0"/>
      <w:marRight w:val="0"/>
      <w:marTop w:val="0"/>
      <w:marBottom w:val="0"/>
      <w:divBdr>
        <w:top w:val="none" w:sz="0" w:space="0" w:color="auto"/>
        <w:left w:val="none" w:sz="0" w:space="0" w:color="auto"/>
        <w:bottom w:val="none" w:sz="0" w:space="0" w:color="auto"/>
        <w:right w:val="none" w:sz="0" w:space="0" w:color="auto"/>
      </w:divBdr>
    </w:div>
    <w:div w:id="481241418">
      <w:bodyDiv w:val="1"/>
      <w:marLeft w:val="0"/>
      <w:marRight w:val="0"/>
      <w:marTop w:val="0"/>
      <w:marBottom w:val="0"/>
      <w:divBdr>
        <w:top w:val="none" w:sz="0" w:space="0" w:color="auto"/>
        <w:left w:val="none" w:sz="0" w:space="0" w:color="auto"/>
        <w:bottom w:val="none" w:sz="0" w:space="0" w:color="auto"/>
        <w:right w:val="none" w:sz="0" w:space="0" w:color="auto"/>
      </w:divBdr>
    </w:div>
    <w:div w:id="514617461">
      <w:bodyDiv w:val="1"/>
      <w:marLeft w:val="0"/>
      <w:marRight w:val="0"/>
      <w:marTop w:val="0"/>
      <w:marBottom w:val="0"/>
      <w:divBdr>
        <w:top w:val="none" w:sz="0" w:space="0" w:color="auto"/>
        <w:left w:val="none" w:sz="0" w:space="0" w:color="auto"/>
        <w:bottom w:val="none" w:sz="0" w:space="0" w:color="auto"/>
        <w:right w:val="none" w:sz="0" w:space="0" w:color="auto"/>
      </w:divBdr>
    </w:div>
    <w:div w:id="572004828">
      <w:bodyDiv w:val="1"/>
      <w:marLeft w:val="0"/>
      <w:marRight w:val="0"/>
      <w:marTop w:val="0"/>
      <w:marBottom w:val="0"/>
      <w:divBdr>
        <w:top w:val="none" w:sz="0" w:space="0" w:color="auto"/>
        <w:left w:val="none" w:sz="0" w:space="0" w:color="auto"/>
        <w:bottom w:val="none" w:sz="0" w:space="0" w:color="auto"/>
        <w:right w:val="none" w:sz="0" w:space="0" w:color="auto"/>
      </w:divBdr>
    </w:div>
    <w:div w:id="801965701">
      <w:bodyDiv w:val="1"/>
      <w:marLeft w:val="0"/>
      <w:marRight w:val="0"/>
      <w:marTop w:val="0"/>
      <w:marBottom w:val="0"/>
      <w:divBdr>
        <w:top w:val="none" w:sz="0" w:space="0" w:color="auto"/>
        <w:left w:val="none" w:sz="0" w:space="0" w:color="auto"/>
        <w:bottom w:val="none" w:sz="0" w:space="0" w:color="auto"/>
        <w:right w:val="none" w:sz="0" w:space="0" w:color="auto"/>
      </w:divBdr>
    </w:div>
    <w:div w:id="807362889">
      <w:bodyDiv w:val="1"/>
      <w:marLeft w:val="0"/>
      <w:marRight w:val="0"/>
      <w:marTop w:val="0"/>
      <w:marBottom w:val="0"/>
      <w:divBdr>
        <w:top w:val="none" w:sz="0" w:space="0" w:color="auto"/>
        <w:left w:val="none" w:sz="0" w:space="0" w:color="auto"/>
        <w:bottom w:val="none" w:sz="0" w:space="0" w:color="auto"/>
        <w:right w:val="none" w:sz="0" w:space="0" w:color="auto"/>
      </w:divBdr>
    </w:div>
    <w:div w:id="1020740960">
      <w:bodyDiv w:val="1"/>
      <w:marLeft w:val="0"/>
      <w:marRight w:val="0"/>
      <w:marTop w:val="0"/>
      <w:marBottom w:val="0"/>
      <w:divBdr>
        <w:top w:val="none" w:sz="0" w:space="0" w:color="auto"/>
        <w:left w:val="none" w:sz="0" w:space="0" w:color="auto"/>
        <w:bottom w:val="none" w:sz="0" w:space="0" w:color="auto"/>
        <w:right w:val="none" w:sz="0" w:space="0" w:color="auto"/>
      </w:divBdr>
    </w:div>
    <w:div w:id="1043754262">
      <w:bodyDiv w:val="1"/>
      <w:marLeft w:val="0"/>
      <w:marRight w:val="0"/>
      <w:marTop w:val="0"/>
      <w:marBottom w:val="0"/>
      <w:divBdr>
        <w:top w:val="none" w:sz="0" w:space="0" w:color="auto"/>
        <w:left w:val="none" w:sz="0" w:space="0" w:color="auto"/>
        <w:bottom w:val="none" w:sz="0" w:space="0" w:color="auto"/>
        <w:right w:val="none" w:sz="0" w:space="0" w:color="auto"/>
      </w:divBdr>
    </w:div>
    <w:div w:id="1144271050">
      <w:bodyDiv w:val="1"/>
      <w:marLeft w:val="0"/>
      <w:marRight w:val="0"/>
      <w:marTop w:val="0"/>
      <w:marBottom w:val="0"/>
      <w:divBdr>
        <w:top w:val="none" w:sz="0" w:space="0" w:color="auto"/>
        <w:left w:val="none" w:sz="0" w:space="0" w:color="auto"/>
        <w:bottom w:val="none" w:sz="0" w:space="0" w:color="auto"/>
        <w:right w:val="none" w:sz="0" w:space="0" w:color="auto"/>
      </w:divBdr>
    </w:div>
    <w:div w:id="1156261703">
      <w:bodyDiv w:val="1"/>
      <w:marLeft w:val="0"/>
      <w:marRight w:val="0"/>
      <w:marTop w:val="0"/>
      <w:marBottom w:val="0"/>
      <w:divBdr>
        <w:top w:val="none" w:sz="0" w:space="0" w:color="auto"/>
        <w:left w:val="none" w:sz="0" w:space="0" w:color="auto"/>
        <w:bottom w:val="none" w:sz="0" w:space="0" w:color="auto"/>
        <w:right w:val="none" w:sz="0" w:space="0" w:color="auto"/>
      </w:divBdr>
    </w:div>
    <w:div w:id="1157112899">
      <w:bodyDiv w:val="1"/>
      <w:marLeft w:val="0"/>
      <w:marRight w:val="0"/>
      <w:marTop w:val="0"/>
      <w:marBottom w:val="0"/>
      <w:divBdr>
        <w:top w:val="none" w:sz="0" w:space="0" w:color="auto"/>
        <w:left w:val="none" w:sz="0" w:space="0" w:color="auto"/>
        <w:bottom w:val="none" w:sz="0" w:space="0" w:color="auto"/>
        <w:right w:val="none" w:sz="0" w:space="0" w:color="auto"/>
      </w:divBdr>
    </w:div>
    <w:div w:id="1164660729">
      <w:bodyDiv w:val="1"/>
      <w:marLeft w:val="0"/>
      <w:marRight w:val="0"/>
      <w:marTop w:val="0"/>
      <w:marBottom w:val="0"/>
      <w:divBdr>
        <w:top w:val="none" w:sz="0" w:space="0" w:color="auto"/>
        <w:left w:val="none" w:sz="0" w:space="0" w:color="auto"/>
        <w:bottom w:val="none" w:sz="0" w:space="0" w:color="auto"/>
        <w:right w:val="none" w:sz="0" w:space="0" w:color="auto"/>
      </w:divBdr>
    </w:div>
    <w:div w:id="1214536431">
      <w:bodyDiv w:val="1"/>
      <w:marLeft w:val="0"/>
      <w:marRight w:val="0"/>
      <w:marTop w:val="0"/>
      <w:marBottom w:val="0"/>
      <w:divBdr>
        <w:top w:val="none" w:sz="0" w:space="0" w:color="auto"/>
        <w:left w:val="none" w:sz="0" w:space="0" w:color="auto"/>
        <w:bottom w:val="none" w:sz="0" w:space="0" w:color="auto"/>
        <w:right w:val="none" w:sz="0" w:space="0" w:color="auto"/>
      </w:divBdr>
    </w:div>
    <w:div w:id="1375959429">
      <w:bodyDiv w:val="1"/>
      <w:marLeft w:val="0"/>
      <w:marRight w:val="0"/>
      <w:marTop w:val="0"/>
      <w:marBottom w:val="0"/>
      <w:divBdr>
        <w:top w:val="none" w:sz="0" w:space="0" w:color="auto"/>
        <w:left w:val="none" w:sz="0" w:space="0" w:color="auto"/>
        <w:bottom w:val="none" w:sz="0" w:space="0" w:color="auto"/>
        <w:right w:val="none" w:sz="0" w:space="0" w:color="auto"/>
      </w:divBdr>
    </w:div>
    <w:div w:id="1440220746">
      <w:bodyDiv w:val="1"/>
      <w:marLeft w:val="0"/>
      <w:marRight w:val="0"/>
      <w:marTop w:val="0"/>
      <w:marBottom w:val="0"/>
      <w:divBdr>
        <w:top w:val="none" w:sz="0" w:space="0" w:color="auto"/>
        <w:left w:val="none" w:sz="0" w:space="0" w:color="auto"/>
        <w:bottom w:val="none" w:sz="0" w:space="0" w:color="auto"/>
        <w:right w:val="none" w:sz="0" w:space="0" w:color="auto"/>
      </w:divBdr>
    </w:div>
    <w:div w:id="1496874481">
      <w:bodyDiv w:val="1"/>
      <w:marLeft w:val="0"/>
      <w:marRight w:val="0"/>
      <w:marTop w:val="0"/>
      <w:marBottom w:val="0"/>
      <w:divBdr>
        <w:top w:val="none" w:sz="0" w:space="0" w:color="auto"/>
        <w:left w:val="none" w:sz="0" w:space="0" w:color="auto"/>
        <w:bottom w:val="none" w:sz="0" w:space="0" w:color="auto"/>
        <w:right w:val="none" w:sz="0" w:space="0" w:color="auto"/>
      </w:divBdr>
    </w:div>
    <w:div w:id="1508716633">
      <w:bodyDiv w:val="1"/>
      <w:marLeft w:val="0"/>
      <w:marRight w:val="0"/>
      <w:marTop w:val="0"/>
      <w:marBottom w:val="0"/>
      <w:divBdr>
        <w:top w:val="none" w:sz="0" w:space="0" w:color="auto"/>
        <w:left w:val="none" w:sz="0" w:space="0" w:color="auto"/>
        <w:bottom w:val="none" w:sz="0" w:space="0" w:color="auto"/>
        <w:right w:val="none" w:sz="0" w:space="0" w:color="auto"/>
      </w:divBdr>
    </w:div>
    <w:div w:id="1588418197">
      <w:bodyDiv w:val="1"/>
      <w:marLeft w:val="0"/>
      <w:marRight w:val="0"/>
      <w:marTop w:val="0"/>
      <w:marBottom w:val="0"/>
      <w:divBdr>
        <w:top w:val="none" w:sz="0" w:space="0" w:color="auto"/>
        <w:left w:val="none" w:sz="0" w:space="0" w:color="auto"/>
        <w:bottom w:val="none" w:sz="0" w:space="0" w:color="auto"/>
        <w:right w:val="none" w:sz="0" w:space="0" w:color="auto"/>
      </w:divBdr>
    </w:div>
    <w:div w:id="1675373769">
      <w:bodyDiv w:val="1"/>
      <w:marLeft w:val="0"/>
      <w:marRight w:val="0"/>
      <w:marTop w:val="0"/>
      <w:marBottom w:val="0"/>
      <w:divBdr>
        <w:top w:val="none" w:sz="0" w:space="0" w:color="auto"/>
        <w:left w:val="none" w:sz="0" w:space="0" w:color="auto"/>
        <w:bottom w:val="none" w:sz="0" w:space="0" w:color="auto"/>
        <w:right w:val="none" w:sz="0" w:space="0" w:color="auto"/>
      </w:divBdr>
    </w:div>
    <w:div w:id="1704403639">
      <w:bodyDiv w:val="1"/>
      <w:marLeft w:val="0"/>
      <w:marRight w:val="0"/>
      <w:marTop w:val="0"/>
      <w:marBottom w:val="0"/>
      <w:divBdr>
        <w:top w:val="none" w:sz="0" w:space="0" w:color="auto"/>
        <w:left w:val="none" w:sz="0" w:space="0" w:color="auto"/>
        <w:bottom w:val="none" w:sz="0" w:space="0" w:color="auto"/>
        <w:right w:val="none" w:sz="0" w:space="0" w:color="auto"/>
      </w:divBdr>
    </w:div>
    <w:div w:id="1811828521">
      <w:bodyDiv w:val="1"/>
      <w:marLeft w:val="0"/>
      <w:marRight w:val="0"/>
      <w:marTop w:val="0"/>
      <w:marBottom w:val="0"/>
      <w:divBdr>
        <w:top w:val="none" w:sz="0" w:space="0" w:color="auto"/>
        <w:left w:val="none" w:sz="0" w:space="0" w:color="auto"/>
        <w:bottom w:val="none" w:sz="0" w:space="0" w:color="auto"/>
        <w:right w:val="none" w:sz="0" w:space="0" w:color="auto"/>
      </w:divBdr>
    </w:div>
    <w:div w:id="1819374387">
      <w:bodyDiv w:val="1"/>
      <w:marLeft w:val="0"/>
      <w:marRight w:val="0"/>
      <w:marTop w:val="0"/>
      <w:marBottom w:val="0"/>
      <w:divBdr>
        <w:top w:val="none" w:sz="0" w:space="0" w:color="auto"/>
        <w:left w:val="none" w:sz="0" w:space="0" w:color="auto"/>
        <w:bottom w:val="none" w:sz="0" w:space="0" w:color="auto"/>
        <w:right w:val="none" w:sz="0" w:space="0" w:color="auto"/>
      </w:divBdr>
    </w:div>
    <w:div w:id="1836725722">
      <w:bodyDiv w:val="1"/>
      <w:marLeft w:val="0"/>
      <w:marRight w:val="0"/>
      <w:marTop w:val="0"/>
      <w:marBottom w:val="0"/>
      <w:divBdr>
        <w:top w:val="none" w:sz="0" w:space="0" w:color="auto"/>
        <w:left w:val="none" w:sz="0" w:space="0" w:color="auto"/>
        <w:bottom w:val="none" w:sz="0" w:space="0" w:color="auto"/>
        <w:right w:val="none" w:sz="0" w:space="0" w:color="auto"/>
      </w:divBdr>
    </w:div>
    <w:div w:id="1995521068">
      <w:bodyDiv w:val="1"/>
      <w:marLeft w:val="0"/>
      <w:marRight w:val="0"/>
      <w:marTop w:val="0"/>
      <w:marBottom w:val="0"/>
      <w:divBdr>
        <w:top w:val="none" w:sz="0" w:space="0" w:color="auto"/>
        <w:left w:val="none" w:sz="0" w:space="0" w:color="auto"/>
        <w:bottom w:val="none" w:sz="0" w:space="0" w:color="auto"/>
        <w:right w:val="none" w:sz="0" w:space="0" w:color="auto"/>
      </w:divBdr>
    </w:div>
    <w:div w:id="2010593118">
      <w:bodyDiv w:val="1"/>
      <w:marLeft w:val="0"/>
      <w:marRight w:val="0"/>
      <w:marTop w:val="0"/>
      <w:marBottom w:val="0"/>
      <w:divBdr>
        <w:top w:val="none" w:sz="0" w:space="0" w:color="auto"/>
        <w:left w:val="none" w:sz="0" w:space="0" w:color="auto"/>
        <w:bottom w:val="none" w:sz="0" w:space="0" w:color="auto"/>
        <w:right w:val="none" w:sz="0" w:space="0" w:color="auto"/>
      </w:divBdr>
    </w:div>
    <w:div w:id="2035762230">
      <w:bodyDiv w:val="1"/>
      <w:marLeft w:val="0"/>
      <w:marRight w:val="0"/>
      <w:marTop w:val="0"/>
      <w:marBottom w:val="0"/>
      <w:divBdr>
        <w:top w:val="none" w:sz="0" w:space="0" w:color="auto"/>
        <w:left w:val="none" w:sz="0" w:space="0" w:color="auto"/>
        <w:bottom w:val="none" w:sz="0" w:space="0" w:color="auto"/>
        <w:right w:val="none" w:sz="0" w:space="0" w:color="auto"/>
      </w:divBdr>
    </w:div>
    <w:div w:id="2075351469">
      <w:bodyDiv w:val="1"/>
      <w:marLeft w:val="0"/>
      <w:marRight w:val="0"/>
      <w:marTop w:val="0"/>
      <w:marBottom w:val="0"/>
      <w:divBdr>
        <w:top w:val="none" w:sz="0" w:space="0" w:color="auto"/>
        <w:left w:val="none" w:sz="0" w:space="0" w:color="auto"/>
        <w:bottom w:val="none" w:sz="0" w:space="0" w:color="auto"/>
        <w:right w:val="none" w:sz="0" w:space="0" w:color="auto"/>
      </w:divBdr>
    </w:div>
    <w:div w:id="2110158920">
      <w:bodyDiv w:val="1"/>
      <w:marLeft w:val="0"/>
      <w:marRight w:val="0"/>
      <w:marTop w:val="0"/>
      <w:marBottom w:val="0"/>
      <w:divBdr>
        <w:top w:val="none" w:sz="0" w:space="0" w:color="auto"/>
        <w:left w:val="none" w:sz="0" w:space="0" w:color="auto"/>
        <w:bottom w:val="none" w:sz="0" w:space="0" w:color="auto"/>
        <w:right w:val="none" w:sz="0" w:space="0" w:color="auto"/>
      </w:divBdr>
    </w:div>
    <w:div w:id="21405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323-OSMP-UT@banque-france.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banque-france.fr/stabilite-financiere/securite-des-moyens-de-paiement-scripturaux/collectes-statistiques-reglementaires-espace-declarants/collecte-pour-le-compte-de-lobservatoire-de-la-securite-des-moyens-de-pai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nque-france.fr/liste-chronologique/rapports-dactivite"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844F-175D-4D6D-A1BA-6DCE0428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3846</Words>
  <Characters>21158</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Christelle GUIHENEUC</dc:creator>
  <cp:lastModifiedBy>BARBERET Aurélie (DGSO DIIP)</cp:lastModifiedBy>
  <cp:revision>2</cp:revision>
  <cp:lastPrinted>2019-02-07T10:38:00Z</cp:lastPrinted>
  <dcterms:created xsi:type="dcterms:W3CDTF">2023-07-24T12:44:00Z</dcterms:created>
  <dcterms:modified xsi:type="dcterms:W3CDTF">2023-07-24T12:44:00Z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283196</vt:lpwstr>
  </property>
  <property fmtid="{D5CDD505-2E9C-101B-9397-08002B2CF9AE}" name="NXPowerLiteSettings" pid="3">
    <vt:lpwstr>C7000400038000</vt:lpwstr>
  </property>
  <property fmtid="{D5CDD505-2E9C-101B-9397-08002B2CF9AE}" name="NXPowerLiteVersion" pid="4">
    <vt:lpwstr>S10.0.0</vt:lpwstr>
  </property>
</Properties>
</file>