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37C" w:rsidRDefault="00CD4D90" w:rsidP="00CD4D90">
      <w:pPr>
        <w:jc w:val="center"/>
      </w:pPr>
      <w:bookmarkStart w:id="0" w:name="_GoBack"/>
      <w:bookmarkEnd w:id="0"/>
      <w:r w:rsidRPr="00920771">
        <w:rPr>
          <w:noProof/>
          <w:lang w:eastAsia="fr-FR"/>
        </w:rPr>
        <w:drawing>
          <wp:inline distT="0" distB="0" distL="0" distR="0" wp14:anchorId="69CF6FD5" wp14:editId="560233DE">
            <wp:extent cx="1009815" cy="990502"/>
            <wp:effectExtent l="0" t="0" r="0" b="635"/>
            <wp:docPr id="32" name="Image 32" descr="D:\3.3_Groupes_de_travail\12- Pôle- études\2022 -DEFI\Visuels\2021_ACPR_logo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.3_Groupes_de_travail\12- Pôle- études\2022 -DEFI\Visuels\2021_ACPR_logo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993" cy="102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3B" w:rsidRDefault="00BB173B" w:rsidP="00CD4D90">
      <w:pPr>
        <w:spacing w:after="0" w:line="560" w:lineRule="exact"/>
      </w:pPr>
    </w:p>
    <w:p w:rsidR="00CD4D90" w:rsidRPr="00BB173B" w:rsidRDefault="00CD4D90" w:rsidP="00BB173B">
      <w:pPr>
        <w:spacing w:after="360" w:line="560" w:lineRule="exact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CD4D90">
        <w:rPr>
          <w:rFonts w:ascii="Arial" w:hAnsi="Arial" w:cs="Arial"/>
          <w:b/>
          <w:color w:val="002060"/>
          <w:sz w:val="40"/>
          <w:szCs w:val="40"/>
        </w:rPr>
        <w:t>Finance « décentralisée »</w:t>
      </w:r>
      <w:r w:rsidR="00BB173B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Pr="00CD4D90">
        <w:rPr>
          <w:rFonts w:ascii="Arial" w:hAnsi="Arial" w:cs="Arial"/>
          <w:b/>
          <w:color w:val="002060"/>
          <w:sz w:val="40"/>
          <w:szCs w:val="40"/>
        </w:rPr>
        <w:t>ou « désintermédiée » :</w:t>
      </w:r>
      <w:r w:rsidR="00BB173B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Pr="00CD4D90">
        <w:rPr>
          <w:rFonts w:ascii="Arial" w:hAnsi="Arial" w:cs="Arial"/>
          <w:b/>
          <w:color w:val="002060"/>
          <w:sz w:val="40"/>
          <w:szCs w:val="40"/>
        </w:rPr>
        <w:t>quelle réponse réglementaire ?</w:t>
      </w:r>
    </w:p>
    <w:p w:rsidR="00CD4D90" w:rsidRDefault="00692B05" w:rsidP="00CD4D90">
      <w:pPr>
        <w:jc w:val="center"/>
      </w:pPr>
      <w:r>
        <w:t>(A</w:t>
      </w:r>
      <w:r w:rsidR="00CD4D90">
        <w:t>vril 2023)</w:t>
      </w:r>
    </w:p>
    <w:p w:rsidR="00CD4D90" w:rsidRPr="00CD4D90" w:rsidRDefault="00CD4D90" w:rsidP="00CD4D90">
      <w:pPr>
        <w:jc w:val="center"/>
        <w:rPr>
          <w:b/>
          <w:sz w:val="40"/>
          <w:szCs w:val="40"/>
        </w:rPr>
      </w:pPr>
      <w:r w:rsidRPr="00CD4D90">
        <w:rPr>
          <w:b/>
          <w:sz w:val="40"/>
          <w:szCs w:val="40"/>
        </w:rPr>
        <w:t>Questionnaire de consultation</w:t>
      </w:r>
    </w:p>
    <w:p w:rsidR="00CD4D90" w:rsidRDefault="00CD4D90" w:rsidP="00CD4D90">
      <w:pPr>
        <w:jc w:val="both"/>
      </w:pPr>
    </w:p>
    <w:p w:rsidR="00CD4D90" w:rsidRDefault="00CD4D90" w:rsidP="00CD4D90">
      <w:pPr>
        <w:jc w:val="both"/>
      </w:pPr>
      <w:r>
        <w:t xml:space="preserve">Ce document reprend la liste des questions du document de réflexion soumis à consultation publique </w:t>
      </w:r>
      <w:r w:rsidRPr="00CD4D90">
        <w:rPr>
          <w:i/>
        </w:rPr>
        <w:t>Finance « décentralisée » ou « désintermédiée » : quelle réponse réglementaire ?</w:t>
      </w:r>
    </w:p>
    <w:p w:rsidR="00CD4D90" w:rsidRPr="00CD4D90" w:rsidRDefault="00CD4D90" w:rsidP="00CD4D90">
      <w:pPr>
        <w:jc w:val="both"/>
        <w:rPr>
          <w:b/>
        </w:rPr>
      </w:pPr>
      <w:r>
        <w:t xml:space="preserve">Les réponses sont à envoyer à l’adresse </w:t>
      </w:r>
      <w:hyperlink r:id="rId8" w:history="1">
        <w:r w:rsidRPr="00D30DCA">
          <w:rPr>
            <w:rStyle w:val="Lienhypertexte"/>
          </w:rPr>
          <w:t>fintech-innovation@acpr.banque-france.fr</w:t>
        </w:r>
      </w:hyperlink>
      <w:r>
        <w:t xml:space="preserve"> </w:t>
      </w:r>
      <w:r w:rsidRPr="00CD4D90">
        <w:rPr>
          <w:b/>
        </w:rPr>
        <w:t>avant le 19 mai 2023.</w:t>
      </w:r>
    </w:p>
    <w:p w:rsidR="00CD4D90" w:rsidRDefault="00CD4D90" w:rsidP="00CD4D90">
      <w:pPr>
        <w:jc w:val="both"/>
      </w:pPr>
    </w:p>
    <w:p w:rsidR="00CD4D90" w:rsidRDefault="00CD4D90" w:rsidP="00CD4D90">
      <w:pPr>
        <w:jc w:val="both"/>
      </w:pPr>
    </w:p>
    <w:p w:rsidR="00CD4D90" w:rsidRDefault="00CD4D90" w:rsidP="00CD4D90">
      <w:pPr>
        <w:jc w:val="both"/>
      </w:pPr>
    </w:p>
    <w:p w:rsidR="00CD4D90" w:rsidRDefault="00CD4D90" w:rsidP="00CD4D90">
      <w:pPr>
        <w:jc w:val="both"/>
      </w:pPr>
    </w:p>
    <w:p w:rsidR="00CD4D90" w:rsidRDefault="00CD4D90" w:rsidP="008449A2">
      <w:r>
        <w:br w:type="page"/>
      </w: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</w:pPr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lastRenderedPageBreak/>
        <w:t>Partie 1 du document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 xml:space="preserve"> La </w:t>
      </w:r>
      <w:r w:rsidRPr="00A25109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4"/>
          <w:szCs w:val="24"/>
          <w:u w:val="single"/>
        </w:rPr>
        <w:t>DeFi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: définition, cas d’usage et structure schématique</w:t>
      </w: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Q1 : Avez-vous des commentaires sur la définition de la </w:t>
      </w:r>
      <w:r w:rsidRPr="006E5FF7">
        <w:rPr>
          <w:i/>
        </w:rPr>
        <w:t>DeFi</w:t>
      </w:r>
      <w:r w:rsidRPr="00A14DAA">
        <w:t xml:space="preserve"> retenue dans le document ? Le document rend-il correctement compte du niveau effectif de décentralisation des services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Q2 : À vos yeux, quels cas d’usage de la </w:t>
      </w:r>
      <w:r w:rsidRPr="006E5FF7">
        <w:rPr>
          <w:i/>
        </w:rPr>
        <w:t>DeFi</w:t>
      </w:r>
      <w:r w:rsidRPr="00A14DAA">
        <w:t xml:space="preserve"> sont appelés à se développer à l’avenir ? Peuvent-ils servir l’économie réelle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Q3 : Que pensez-vous des phénomènes de concentration décrits dans la partie 1-5 du document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Q4 : Avez-vous des commentaires à formuler ou des compléments à apporter sur la présentation schématique de la </w:t>
      </w:r>
      <w:r w:rsidRPr="006E5FF7">
        <w:rPr>
          <w:i/>
        </w:rPr>
        <w:t>DeFi</w:t>
      </w:r>
      <w:r w:rsidRPr="00A14DAA">
        <w:t xml:space="preserve"> figurant en partie 1-6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8449A2" w:rsidRPr="00A14DAA" w:rsidRDefault="008449A2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</w:pPr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Partie 2 du document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 xml:space="preserve"> Les risques liés à la </w:t>
      </w:r>
      <w:r w:rsidRPr="006E5FF7">
        <w:rPr>
          <w:rFonts w:asciiTheme="majorHAnsi" w:eastAsiaTheme="majorEastAsia" w:hAnsiTheme="majorHAnsi" w:cstheme="majorBidi"/>
          <w:b/>
          <w:i/>
          <w:color w:val="2E74B5" w:themeColor="accent1" w:themeShade="BF"/>
          <w:sz w:val="24"/>
          <w:szCs w:val="24"/>
          <w:u w:val="single"/>
        </w:rPr>
        <w:t>DeFi</w:t>
      </w: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Q5 : Avez-vous des remarques sur la description des risques liés à la gouvernance décentralisée (partie 2-1 du document)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Q6 : Pensez-vous que les solutions de </w:t>
      </w:r>
      <w:r w:rsidRPr="00A14DAA">
        <w:rPr>
          <w:i/>
        </w:rPr>
        <w:t>layer 1</w:t>
      </w:r>
      <w:r w:rsidRPr="00A14DAA">
        <w:t xml:space="preserve"> peuvent accroître les problèmes de sécurité de l’infrastructure blockchain ? Et pour les solutions de </w:t>
      </w:r>
      <w:r w:rsidRPr="00A14DAA">
        <w:rPr>
          <w:i/>
        </w:rPr>
        <w:t>layer 2</w:t>
      </w:r>
      <w:r w:rsidRPr="00A14DAA">
        <w:t xml:space="preserve"> ? Selon vous, existe-t-il de ce point de vue d’importantes différences selon les solutions de </w:t>
      </w:r>
      <w:r w:rsidRPr="00A14DAA">
        <w:rPr>
          <w:i/>
        </w:rPr>
        <w:t>layer 2</w:t>
      </w:r>
      <w:r w:rsidRPr="00A14DAA">
        <w:t xml:space="preserve"> considérées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Q7 : L’utilisation de </w:t>
      </w:r>
      <w:r w:rsidRPr="00A14DAA">
        <w:rPr>
          <w:i/>
        </w:rPr>
        <w:t>rollups</w:t>
      </w:r>
      <w:r w:rsidRPr="00A14DAA">
        <w:t xml:space="preserve"> ou de solutions similaires est-elle selon vous de nature à réduire la transparence de l’information pour un observateur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Q8 : Avez-vous des remarques quant à la description des risques liés à la couche applicative de la </w:t>
      </w:r>
      <w:r w:rsidRPr="006E5FF7">
        <w:rPr>
          <w:i/>
        </w:rPr>
        <w:t>DeFi</w:t>
      </w:r>
      <w:r w:rsidRPr="00A14DAA">
        <w:t xml:space="preserve"> (partie 2-3)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  <w:r w:rsidRPr="00A14DAA">
        <w:lastRenderedPageBreak/>
        <w:t xml:space="preserve">Q9 : Avez-vous des commentaires à formuler au sujet du recensement des risques de la </w:t>
      </w:r>
      <w:r w:rsidRPr="006E5FF7">
        <w:rPr>
          <w:i/>
        </w:rPr>
        <w:t>DeFi</w:t>
      </w:r>
      <w:r w:rsidRPr="00A14DAA">
        <w:t xml:space="preserve"> pour la clientèle particulière (partie 2-4-1)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Q10 : Avez-vous des remarques ou des compléments à apporter sur la description (partie 2-4-2) des fragilités systémiques de l’écosystème </w:t>
      </w:r>
      <w:r w:rsidRPr="006E5FF7">
        <w:rPr>
          <w:i/>
        </w:rPr>
        <w:t>DeFi</w:t>
      </w:r>
      <w:r w:rsidRPr="00A14DAA">
        <w:t> (endogénéité des placements, importants effets de levier, rôle des mécanismes de liquidation automatisée des positions)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Q11 : Êtes-vous d’accord avec la proposition s’agissant de la réglementation à appliquer aux </w:t>
      </w:r>
      <w:r w:rsidRPr="00A14DAA">
        <w:rPr>
          <w:i/>
        </w:rPr>
        <w:t>stablecoins</w:t>
      </w:r>
      <w:r w:rsidRPr="00A14DAA">
        <w:t xml:space="preserve"> émis par des protocoles </w:t>
      </w:r>
      <w:r w:rsidRPr="006E5FF7">
        <w:rPr>
          <w:i/>
        </w:rPr>
        <w:t>DeFi</w:t>
      </w:r>
      <w:r w:rsidRPr="00A14DAA">
        <w:t> ? (</w:t>
      </w:r>
      <w:r w:rsidR="003E4FC9" w:rsidRPr="00A25109">
        <w:rPr>
          <w:i/>
        </w:rPr>
        <w:t>Cf.</w:t>
      </w:r>
      <w:r w:rsidRPr="00A14DAA">
        <w:t xml:space="preserve"> partie 2-4-3 : « </w:t>
      </w:r>
      <w:r w:rsidRPr="00A14DAA">
        <w:rPr>
          <w:i/>
        </w:rPr>
        <w:t>dès lors qu’un service décentralisé prétend créer ou utiliser un crypto-actif ayant pour référence une monnaie officielle, ce crypto-actif doit obligatoirement être un EMT au sens de MiCA (ou un actif équivalent)</w:t>
      </w:r>
      <w:r w:rsidRPr="00A14DAA">
        <w:t> »)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48864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72858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Pour quelles raisons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Q12 : Avez-vous des remarques à formuler quant à la description des risques que la </w:t>
      </w:r>
      <w:r w:rsidRPr="006E5FF7">
        <w:rPr>
          <w:i/>
        </w:rPr>
        <w:t>DeFi</w:t>
      </w:r>
      <w:r w:rsidRPr="00A14DAA">
        <w:t xml:space="preserve"> peut faire peser dans la lutte contre le blanchiment des capitaux et le financement du terrorisme (LCB-FT) (partie 2-4-4)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Q13 : Voyez-vous d’autres risques à prendre en considération, qui ne seraient pas évoqués (ou insuffisamment) dans le document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CD4D90" w:rsidRPr="008449A2" w:rsidRDefault="00CD4D90" w:rsidP="008449A2"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Partie 3 du document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 w:rsidRPr="00A14DAA"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 xml:space="preserve"> Les pistes d’encadrement réglementaire</w:t>
      </w: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</w:pPr>
      <w:r w:rsidRPr="00A14DA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>Partie 3-1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 w:rsidRPr="00A14DA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 xml:space="preserve"> Assurer une sécurité minimale de l’infrastructure</w:t>
      </w: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Q14 : Les blockchains publiques devraient-elles faire l’objet d’un encadrement ou de standards minimaux de sécurité (cf. partie 3-1, schéma de régulation A)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15365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>
            <w:rPr>
              <w:rFonts w:ascii="MS Gothic" w:eastAsia="MS Gothic" w:hAnsi="MS Gothic" w:hint="eastAsia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62413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Si oui, de quelle façon ? Sinon,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 w:rsidRPr="00A14DAA">
        <w:lastRenderedPageBreak/>
        <w:t xml:space="preserve">Q15 : Les autorités </w:t>
      </w:r>
      <w:r>
        <w:t>publiques</w:t>
      </w:r>
      <w:r w:rsidRPr="00A14DAA">
        <w:t xml:space="preserve"> devraient-elles </w:t>
      </w:r>
      <w:r>
        <w:t>superviser la concentration des capacités de validation sur les blockchains publiques ? Si oui, par le biais de quelles actions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8384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Surveiller la concentration en temps réel</w:t>
      </w:r>
    </w:p>
    <w:p w:rsidR="00CD4D90" w:rsidRDefault="003E4FC9" w:rsidP="00CD4D90">
      <w:pPr>
        <w:spacing w:after="0" w:line="240" w:lineRule="auto"/>
        <w:jc w:val="both"/>
      </w:pPr>
      <w:sdt>
        <w:sdtPr>
          <w:id w:val="2148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Fixer des plafonds à cette concentration</w:t>
      </w:r>
    </w:p>
    <w:p w:rsidR="00CD4D90" w:rsidRDefault="003E4FC9" w:rsidP="00CD4D90">
      <w:pPr>
        <w:spacing w:after="0" w:line="240" w:lineRule="auto"/>
        <w:jc w:val="both"/>
      </w:pPr>
      <w:sdt>
        <w:sdtPr>
          <w:id w:val="-46920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Communiquer publiquement en cas de dépassement de certains seuils de concentration</w:t>
      </w:r>
    </w:p>
    <w:p w:rsidR="00CD4D90" w:rsidRDefault="003E4FC9" w:rsidP="00CD4D90">
      <w:pPr>
        <w:spacing w:after="0" w:line="240" w:lineRule="auto"/>
        <w:jc w:val="both"/>
      </w:pPr>
      <w:sdt>
        <w:sdtPr>
          <w:id w:val="-203695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Engager d’autres actions (préciser lesquelles)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 w:rsidRPr="00A14DAA">
        <w:t>Q16 : Partagez-vous l’analyse qui est faite dans le document quant aux avantages et inconvénients des blockchains privées (partie 3-1, schéma de régulation B) ? Les blockchains privées opérées par des opérateurs privés devraient-elles, le cas échéant, être soumises à un cadre de surveillance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09158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>
            <w:rPr>
              <w:rFonts w:ascii="MS Gothic" w:eastAsia="MS Gothic" w:hAnsi="MS Gothic" w:hint="eastAsia"/>
            </w:rPr>
            <w:t>☐</w:t>
          </w:r>
        </w:sdtContent>
      </w:sdt>
      <w:r w:rsidR="00CD4D90" w:rsidRPr="00A14DAA">
        <w:t>Oui</w:t>
      </w:r>
    </w:p>
    <w:p w:rsidR="00CD4D90" w:rsidRDefault="003E4FC9" w:rsidP="00CD4D90">
      <w:pPr>
        <w:spacing w:after="0" w:line="240" w:lineRule="auto"/>
        <w:jc w:val="both"/>
      </w:pPr>
      <w:sdt>
        <w:sdtPr>
          <w:id w:val="-167147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Q17 : Des acteurs publics devraient-ils </w:t>
      </w:r>
      <w:r>
        <w:t>g</w:t>
      </w:r>
      <w:r w:rsidRPr="00A14DAA">
        <w:t xml:space="preserve">érer directement les blockchains servant d’infrastructure </w:t>
      </w:r>
      <w:r>
        <w:t>à la</w:t>
      </w:r>
      <w:r w:rsidRPr="00A14DAA">
        <w:t xml:space="preserve"> </w:t>
      </w:r>
      <w:r w:rsidRPr="006E5FF7">
        <w:rPr>
          <w:i/>
        </w:rPr>
        <w:t>DeFi</w:t>
      </w:r>
      <w:r w:rsidRPr="00A14DAA">
        <w:t>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584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34536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Default="00CD4D90" w:rsidP="00CD4D90">
      <w:pPr>
        <w:spacing w:after="0" w:line="240" w:lineRule="auto"/>
        <w:jc w:val="both"/>
      </w:pPr>
    </w:p>
    <w:p w:rsidR="00692B05" w:rsidRPr="00A14DAA" w:rsidRDefault="00692B05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 w:rsidRPr="00A14DAA">
        <w:t xml:space="preserve">Q18 : </w:t>
      </w:r>
      <w:r>
        <w:t>Avez-vous</w:t>
      </w:r>
      <w:r w:rsidRPr="00A14DAA">
        <w:t xml:space="preserve"> d’autres pistes</w:t>
      </w:r>
      <w:r>
        <w:t xml:space="preserve"> de réglementation à proposer dans le but </w:t>
      </w:r>
      <w:r w:rsidRPr="00A14DAA">
        <w:t>d’assurer une sécurité minimale de l’infrastructure blockchain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261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29773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Si oui, lesquelles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8449A2" w:rsidRDefault="008449A2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</w:pPr>
    </w:p>
    <w:p w:rsidR="008449A2" w:rsidRDefault="008449A2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</w:pP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</w:pPr>
      <w:r w:rsidRPr="00A14DA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>Partie 3-2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 w:rsidRPr="00A14DA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 xml:space="preserve"> Proposer un encadrement adapté à la nature algorithmique des services</w:t>
      </w:r>
    </w:p>
    <w:p w:rsidR="008449A2" w:rsidRDefault="008449A2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Q19 : Un mécanisme de certification constitue-t-il une solution efficace pour définir un périmètre de </w:t>
      </w:r>
      <w:r w:rsidRPr="00A14DAA">
        <w:rPr>
          <w:i/>
        </w:rPr>
        <w:t>smart contracts</w:t>
      </w:r>
      <w:r w:rsidRPr="00A14DAA">
        <w:t xml:space="preserve"> « sûrs » (pour un état donné des connaissances) ? </w:t>
      </w:r>
      <w:r>
        <w:t>Des</w:t>
      </w:r>
      <w:r w:rsidRPr="00A14DAA">
        <w:t xml:space="preserve"> solutions alternatives </w:t>
      </w:r>
      <w:r>
        <w:t>permettraient-elles</w:t>
      </w:r>
      <w:r w:rsidRPr="00A14DAA">
        <w:t xml:space="preserve"> d’aboutir </w:t>
      </w:r>
      <w:r>
        <w:t>au même résultat</w:t>
      </w:r>
      <w:r w:rsidRPr="00A14DAA">
        <w:t xml:space="preserve">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lastRenderedPageBreak/>
        <w:t>Q20 : Partagez-vous la description qui est faite (partie 3-2-1) des différentes techniques d’audit du code informatique des automates exécuteurs de clauses (</w:t>
      </w:r>
      <w:r w:rsidRPr="00A14DAA">
        <w:rPr>
          <w:i/>
        </w:rPr>
        <w:t>smart contracts)</w:t>
      </w:r>
      <w:r w:rsidRPr="00A14DAA">
        <w:t>, y compris de leurs avantages et de leurs inconvénients respectifs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 w:rsidRPr="00A14DAA">
        <w:t xml:space="preserve">Q21 : Identifiez-vous des exemples de </w:t>
      </w:r>
      <w:r w:rsidRPr="00A14DAA">
        <w:rPr>
          <w:i/>
        </w:rPr>
        <w:t>smart contracts</w:t>
      </w:r>
      <w:r w:rsidRPr="00A14DAA">
        <w:t xml:space="preserve"> qui ne devraient pas pouvoir être certifiés du fait de la nature même des services qu’ils rendent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131603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203741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Si oui, lesquels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Q22 : Que pensez-vous des règles proposées dans le document (partie 3-2-2, point a) quant à la manière de certifier les </w:t>
      </w:r>
      <w:r w:rsidRPr="00A14DAA">
        <w:rPr>
          <w:i/>
        </w:rPr>
        <w:t>smart contracts</w:t>
      </w:r>
      <w:r w:rsidRPr="00A14DAA">
        <w:t xml:space="preserve"> (certification préalable des composants appelés, cycle de vie de la certification)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Q23 : Les </w:t>
      </w:r>
      <w:r w:rsidRPr="00A14DAA">
        <w:rPr>
          <w:i/>
        </w:rPr>
        <w:t>smart contracts</w:t>
      </w:r>
      <w:r w:rsidRPr="00A14DAA">
        <w:t xml:space="preserve"> devraient-ils embarquer dans leur code un certain nombre d’exigences réglementaires à l’avenir ? 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81212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5338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 w:rsidRPr="00A14DAA"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Q24 : Qui devrait établir les standards de sécurité des </w:t>
      </w:r>
      <w:r w:rsidRPr="00A14DAA">
        <w:rPr>
          <w:i/>
        </w:rPr>
        <w:t>smart contracts</w:t>
      </w:r>
      <w:r w:rsidRPr="00A14DAA">
        <w:t xml:space="preserve"> (cf. partie 3-2-2, point b) et pourquoi 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Q25 : L’interaction avec des </w:t>
      </w:r>
      <w:r w:rsidRPr="00A14DAA">
        <w:rPr>
          <w:i/>
        </w:rPr>
        <w:t>smart contracts</w:t>
      </w:r>
      <w:r w:rsidRPr="00A14DAA">
        <w:t xml:space="preserve"> non certifiés devrait-elle être découragée ou interdite (cf. partie 3-2-2, point c) ? 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87311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D</w:t>
      </w:r>
      <w:r w:rsidR="00CD4D90" w:rsidRPr="00A14DAA">
        <w:t>écouragée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89435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I</w:t>
      </w:r>
      <w:r w:rsidR="00CD4D90" w:rsidRPr="00A14DAA">
        <w:t>nterdite 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55943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N</w:t>
      </w:r>
      <w:r w:rsidR="00CD4D90" w:rsidRPr="00A14DAA">
        <w:t>i découragée ni interdite</w:t>
      </w:r>
    </w:p>
    <w:p w:rsidR="00CD4D90" w:rsidRPr="00A14DAA" w:rsidRDefault="00CD4D90" w:rsidP="00CD4D90">
      <w:pPr>
        <w:spacing w:after="0" w:line="240" w:lineRule="auto"/>
        <w:jc w:val="both"/>
      </w:pPr>
      <w:r w:rsidRPr="00A14DAA"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8449A2" w:rsidRDefault="008449A2" w:rsidP="00CD4D90">
      <w:pPr>
        <w:spacing w:after="0" w:line="240" w:lineRule="auto"/>
        <w:jc w:val="both"/>
      </w:pPr>
    </w:p>
    <w:p w:rsidR="008449A2" w:rsidRPr="00A14DAA" w:rsidRDefault="008449A2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lastRenderedPageBreak/>
        <w:t xml:space="preserve">Q26 : Qui devrait supporter le coût de la certification des </w:t>
      </w:r>
      <w:r w:rsidRPr="00A14DAA">
        <w:rPr>
          <w:i/>
        </w:rPr>
        <w:t>smart contracts</w:t>
      </w:r>
      <w:r w:rsidRPr="00A14DAA">
        <w:t xml:space="preserve"> (cf. partie 3-2-2, point d) et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Q27 : Avez-vous des remarques quant à la description des risques inhérents au modèle des oracles décentralisés ? Ces risques peuvent-ils être limités par un système de certification adapté aux spécificités de ces applications (cf. partie 3-2-3) ? Avez-vous des remarques ou des propositions alternatives d’encadrement de l’activité des oracles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 w:rsidRPr="00A14DAA">
        <w:t xml:space="preserve">Q28 : </w:t>
      </w:r>
      <w:r>
        <w:t>Avez-vous</w:t>
      </w:r>
      <w:r w:rsidRPr="00A14DAA">
        <w:t xml:space="preserve"> d’autres pistes de réglementation </w:t>
      </w:r>
      <w:r>
        <w:t>à proposer en vue</w:t>
      </w:r>
      <w:r w:rsidRPr="00A14DAA">
        <w:t xml:space="preserve"> de réduire les risques liés à la couche applicative de la </w:t>
      </w:r>
      <w:r w:rsidRPr="006E5FF7">
        <w:rPr>
          <w:i/>
        </w:rPr>
        <w:t>DeFi</w:t>
      </w:r>
      <w:r w:rsidRPr="00A14DAA">
        <w:t xml:space="preserve"> 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579291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21607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Si oui, lesquelles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CD4D90" w:rsidRPr="00A14DAA" w:rsidRDefault="00CD4D90" w:rsidP="00CD4D90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</w:pPr>
      <w:r w:rsidRPr="00A14DA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>Partie 3-3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 w:rsidRPr="00A14DAA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 xml:space="preserve"> L’encadrement de la fourniture et de l’accès aux services</w:t>
      </w: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Q29 : Pensez-vous qu’il puisse dans certains cas être nécessaire de « recentraliser » certaines activités sensibles (partie 3-3-1) ? 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00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212418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 w:rsidRPr="00A14DAA">
        <w:t>Si oui, lesquelles ? Si non, 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Q30 : Que pensez-vous des propositions formulées quant aux manières d’atteindre cet objectif (obligations de se constituer en société, assujettissement des acteurs exerçant un contrôle effectif, statut juridique pour les DAO) ? Avez-vous des suggestions à faire sur le statut juridique à conférer aux DAO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8449A2" w:rsidRDefault="008449A2" w:rsidP="00CD4D90">
      <w:pPr>
        <w:spacing w:after="0" w:line="240" w:lineRule="auto"/>
        <w:jc w:val="both"/>
      </w:pPr>
    </w:p>
    <w:p w:rsidR="008449A2" w:rsidRDefault="008449A2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Q31 : Partagez-vous la description des risques liés à la « </w:t>
      </w:r>
      <w:r w:rsidRPr="00A14DAA">
        <w:rPr>
          <w:i/>
        </w:rPr>
        <w:t>CeDeFi</w:t>
      </w:r>
      <w:r w:rsidRPr="00A14DAA">
        <w:t xml:space="preserve"> », d’une part, et aux « conglomérats crypto » d’autre part (encadré </w:t>
      </w:r>
      <w:r>
        <w:t>6</w:t>
      </w:r>
      <w:r w:rsidRPr="00A14DAA"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8449A2" w:rsidRDefault="008449A2" w:rsidP="00CD4D90">
      <w:pPr>
        <w:spacing w:after="0" w:line="240" w:lineRule="auto"/>
        <w:jc w:val="both"/>
      </w:pPr>
    </w:p>
    <w:p w:rsidR="008449A2" w:rsidRDefault="008449A2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lastRenderedPageBreak/>
        <w:t xml:space="preserve">Q32 : Quelles exigences devraient s’appliquer aux intermédiaires facilitant l’accès à la </w:t>
      </w:r>
      <w:r w:rsidRPr="006E5FF7">
        <w:rPr>
          <w:i/>
        </w:rPr>
        <w:t>DeFi</w:t>
      </w:r>
      <w:r w:rsidRPr="00A14DAA">
        <w:t xml:space="preserve"> ? 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81954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D</w:t>
      </w:r>
      <w:r w:rsidR="00CD4D90" w:rsidRPr="00A14DAA">
        <w:t>es obligations d’information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4515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>
        <w:t>D</w:t>
      </w:r>
      <w:r w:rsidRPr="00A14DAA">
        <w:t>es obligations</w:t>
      </w:r>
      <w:r w:rsidR="00CD4D90" w:rsidRPr="00A14DAA">
        <w:t xml:space="preserve"> de conseils et de vigilance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-64466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D</w:t>
      </w:r>
      <w:r w:rsidR="00CD4D90" w:rsidRPr="00A14DAA">
        <w:t>es exigences concernant la publication de livre blanc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22548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D</w:t>
      </w:r>
      <w:r w:rsidR="00CD4D90" w:rsidRPr="00A14DAA">
        <w:t>es exigences de KYC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3005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U</w:t>
      </w:r>
      <w:r w:rsidR="00CD4D90" w:rsidRPr="00A14DAA">
        <w:t>n cadre complet inspiré de M</w:t>
      </w:r>
      <w:r w:rsidR="00CD4D90">
        <w:t>i</w:t>
      </w:r>
      <w:r w:rsidR="00CD4D90" w:rsidRPr="00A14DAA">
        <w:t>CA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52129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>
        <w:t>A</w:t>
      </w:r>
      <w:r w:rsidR="00CD4D90" w:rsidRPr="00A14DAA">
        <w:t>utre</w:t>
      </w:r>
    </w:p>
    <w:p w:rsidR="00CD4D90" w:rsidRPr="00A14DAA" w:rsidRDefault="00CD4D90" w:rsidP="00CD4D90">
      <w:pPr>
        <w:spacing w:after="0" w:line="240" w:lineRule="auto"/>
        <w:jc w:val="both"/>
      </w:pPr>
      <w:r w:rsidRPr="00A14DAA"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 xml:space="preserve">Q33 : Faudrait-il appliquer les mêmes règles à l’ensemble des intermédiaires de la </w:t>
      </w:r>
      <w:r w:rsidRPr="006E5FF7">
        <w:rPr>
          <w:i/>
        </w:rPr>
        <w:t>DeFi</w:t>
      </w:r>
      <w:r w:rsidRPr="00A14DAA">
        <w:t xml:space="preserve"> (y compris, le cas échéant, à des interfaces web décentralisées) ? 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38353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12751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 w:rsidRPr="00A14DAA"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</w:p>
    <w:p w:rsidR="00CD4D90" w:rsidRPr="00A14DAA" w:rsidRDefault="00CD4D90" w:rsidP="00CD4D90">
      <w:pPr>
        <w:spacing w:after="0" w:line="240" w:lineRule="auto"/>
        <w:jc w:val="both"/>
      </w:pPr>
      <w:r w:rsidRPr="00A14DAA">
        <w:t>Q34 : L’ac</w:t>
      </w:r>
      <w:r>
        <w:t>cès aux produits financiers doit-il</w:t>
      </w:r>
      <w:r w:rsidRPr="00A14DAA">
        <w:t xml:space="preserve"> être conditionné aux compétences financières des clients et à leur appétence au risque ? 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89031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24306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 w:rsidRPr="00A14DAA">
        <w:t>Pourquoi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A14DAA" w:rsidRDefault="00CD4D90" w:rsidP="00CD4D90">
      <w:pPr>
        <w:spacing w:after="0" w:line="240" w:lineRule="auto"/>
        <w:jc w:val="both"/>
        <w:rPr>
          <w:b/>
        </w:rPr>
      </w:pPr>
    </w:p>
    <w:p w:rsidR="00CD4D90" w:rsidRPr="00A14DAA" w:rsidRDefault="00CD4D90" w:rsidP="00CD4D90">
      <w:pPr>
        <w:spacing w:after="0" w:line="240" w:lineRule="auto"/>
        <w:jc w:val="both"/>
        <w:rPr>
          <w:b/>
        </w:rPr>
      </w:pPr>
    </w:p>
    <w:p w:rsidR="00CD4D90" w:rsidRDefault="00CD4D90" w:rsidP="00CD4D90">
      <w:pPr>
        <w:spacing w:after="0" w:line="240" w:lineRule="auto"/>
        <w:jc w:val="both"/>
      </w:pPr>
      <w:r w:rsidRPr="00A14DAA">
        <w:t>Q35 : Avez-vous d’autres pistes de réglementation à proposer concernant l’encadrement de la fourniture et de l’accès aux services ?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88136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Oui</w:t>
      </w:r>
    </w:p>
    <w:p w:rsidR="00CD4D90" w:rsidRPr="00A14DAA" w:rsidRDefault="003E4FC9" w:rsidP="00CD4D90">
      <w:pPr>
        <w:spacing w:after="0" w:line="240" w:lineRule="auto"/>
        <w:jc w:val="both"/>
      </w:pPr>
      <w:sdt>
        <w:sdtPr>
          <w:id w:val="661666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D90" w:rsidRPr="00A14DAA">
            <w:rPr>
              <w:rFonts w:ascii="Segoe UI Symbol" w:hAnsi="Segoe UI Symbol" w:cs="Segoe UI Symbol"/>
            </w:rPr>
            <w:t>☐</w:t>
          </w:r>
        </w:sdtContent>
      </w:sdt>
      <w:r w:rsidR="00CD4D90" w:rsidRPr="00A14DAA">
        <w:t>Non</w:t>
      </w:r>
    </w:p>
    <w:p w:rsidR="00CD4D90" w:rsidRPr="00A14DAA" w:rsidRDefault="00CD4D90" w:rsidP="00CD4D90">
      <w:pPr>
        <w:spacing w:after="0" w:line="240" w:lineRule="auto"/>
        <w:jc w:val="both"/>
      </w:pPr>
      <w:r>
        <w:t>Si oui, lesquelles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8449A2" w:rsidRDefault="008449A2" w:rsidP="008449A2"/>
    <w:p w:rsidR="008449A2" w:rsidRDefault="008449A2" w:rsidP="008449A2"/>
    <w:p w:rsidR="00CD4D90" w:rsidRPr="008449A2" w:rsidRDefault="00CD4D90" w:rsidP="008449A2"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>Pistes de réglementation 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z w:val="24"/>
          <w:szCs w:val="24"/>
          <w:u w:val="single"/>
        </w:rPr>
        <w:t>–</w:t>
      </w:r>
      <w: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  <w:u w:val="single"/>
        </w:rPr>
        <w:t xml:space="preserve"> aspects transversaux</w:t>
      </w:r>
    </w:p>
    <w:p w:rsidR="00CD4D90" w:rsidRDefault="00CD4D90" w:rsidP="00CD4D90">
      <w:pPr>
        <w:spacing w:after="0" w:line="240" w:lineRule="auto"/>
        <w:jc w:val="both"/>
      </w:pPr>
      <w:r>
        <w:t>Q36 : Comment tenir compte des impératifs de proportionnalité (pour les acteurs de taille modeste) dans les différentes pistes réglementaires avancées par le document (ou proposées par vos soins)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D57D52" w:rsidRDefault="00D57D52" w:rsidP="00CD4D90">
      <w:pPr>
        <w:spacing w:after="0" w:line="240" w:lineRule="auto"/>
        <w:jc w:val="both"/>
      </w:pPr>
    </w:p>
    <w:p w:rsidR="00D57D52" w:rsidRDefault="00D57D52" w:rsidP="00CD4D90">
      <w:pPr>
        <w:spacing w:after="0" w:line="240" w:lineRule="auto"/>
        <w:jc w:val="both"/>
      </w:pPr>
    </w:p>
    <w:p w:rsidR="00D57D52" w:rsidRDefault="00D57D52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>
        <w:t>Q37</w:t>
      </w:r>
      <w:r w:rsidRPr="00E74FE1">
        <w:t> : Quelles pistes de réglementation</w:t>
      </w:r>
      <w:r>
        <w:t xml:space="preserve"> – qu’elles soient ou non proposées dans le document –</w:t>
      </w:r>
      <w:r w:rsidRPr="00E74FE1">
        <w:t xml:space="preserve"> </w:t>
      </w:r>
      <w:r>
        <w:t>pourraient</w:t>
      </w:r>
      <w:r w:rsidRPr="00E74FE1">
        <w:t xml:space="preserve"> permettre de surmonter les problèmes liés à la possible extra-territorialité des acteurs (d’un point de vue national ou européen)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4D90" w:rsidRPr="00A14DAA" w:rsidTr="00F82676">
        <w:tc>
          <w:tcPr>
            <w:tcW w:w="9062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</w:p>
    <w:p w:rsidR="00CD4D90" w:rsidRDefault="00CD4D90" w:rsidP="00CD4D90">
      <w:pPr>
        <w:spacing w:after="0" w:line="240" w:lineRule="auto"/>
        <w:jc w:val="both"/>
      </w:pPr>
      <w:r>
        <w:t>Q38 : Qui devrait, dans chaque cas, contrôler la mise en œuvre des différentes pistes réglementaires (qu’elles soient avancées dans ce document ou proposées par vos soins) ? Avec quels moyens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D4D90" w:rsidRPr="00A14DAA" w:rsidTr="00F82676">
        <w:tc>
          <w:tcPr>
            <w:tcW w:w="9060" w:type="dxa"/>
          </w:tcPr>
          <w:p w:rsidR="00CD4D90" w:rsidRPr="00A14DAA" w:rsidRDefault="00CD4D90" w:rsidP="00F82676">
            <w:pPr>
              <w:jc w:val="both"/>
            </w:pPr>
          </w:p>
          <w:p w:rsidR="00CD4D90" w:rsidRPr="00A14DAA" w:rsidRDefault="00CD4D90" w:rsidP="00F82676">
            <w:pPr>
              <w:jc w:val="both"/>
            </w:pPr>
          </w:p>
        </w:tc>
      </w:tr>
    </w:tbl>
    <w:p w:rsidR="00CD4D90" w:rsidRPr="00065B02" w:rsidRDefault="00CD4D90" w:rsidP="00CD4D90"/>
    <w:p w:rsidR="00CD4D90" w:rsidRPr="00CD4D90" w:rsidRDefault="00CD4D90" w:rsidP="00CD4D90">
      <w:pPr>
        <w:jc w:val="both"/>
      </w:pPr>
    </w:p>
    <w:sectPr w:rsidR="00CD4D90" w:rsidRPr="00CD4D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D90" w:rsidRDefault="00CD4D90" w:rsidP="00CD4D90">
      <w:pPr>
        <w:spacing w:after="0" w:line="240" w:lineRule="auto"/>
      </w:pPr>
      <w:r>
        <w:separator/>
      </w:r>
    </w:p>
  </w:endnote>
  <w:endnote w:type="continuationSeparator" w:id="0">
    <w:p w:rsidR="00CD4D90" w:rsidRDefault="00CD4D90" w:rsidP="00CD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6355"/>
      <w:docPartObj>
        <w:docPartGallery w:val="Page Numbers (Bottom of Page)"/>
        <w:docPartUnique/>
      </w:docPartObj>
    </w:sdtPr>
    <w:sdtEndPr/>
    <w:sdtContent>
      <w:p w:rsidR="00CD4D90" w:rsidRDefault="00CD4D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FC9">
          <w:rPr>
            <w:noProof/>
          </w:rPr>
          <w:t>6</w:t>
        </w:r>
        <w:r>
          <w:fldChar w:fldCharType="end"/>
        </w:r>
      </w:p>
    </w:sdtContent>
  </w:sdt>
  <w:p w:rsidR="00CD4D90" w:rsidRDefault="00CD4D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D90" w:rsidRDefault="00CD4D90" w:rsidP="00CD4D90">
      <w:pPr>
        <w:spacing w:after="0" w:line="240" w:lineRule="auto"/>
      </w:pPr>
      <w:r>
        <w:separator/>
      </w:r>
    </w:p>
  </w:footnote>
  <w:footnote w:type="continuationSeparator" w:id="0">
    <w:p w:rsidR="00CD4D90" w:rsidRDefault="00CD4D90" w:rsidP="00CD4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0"/>
    <w:rsid w:val="003B337C"/>
    <w:rsid w:val="003E4FC9"/>
    <w:rsid w:val="00692B05"/>
    <w:rsid w:val="008449A2"/>
    <w:rsid w:val="00BB173B"/>
    <w:rsid w:val="00CD4D90"/>
    <w:rsid w:val="00D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3913-C7F0-4B41-B29B-70D5BA5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4D9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D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4D90"/>
  </w:style>
  <w:style w:type="paragraph" w:styleId="Pieddepage">
    <w:name w:val="footer"/>
    <w:basedOn w:val="Normal"/>
    <w:link w:val="PieddepageCar"/>
    <w:uiPriority w:val="99"/>
    <w:unhideWhenUsed/>
    <w:rsid w:val="00CD4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tech-innovation@acpr.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1DBB-373E-4D75-BFC4-8B0E9142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1358</Words>
  <Characters>7474</Characters>
  <Application>Microsoft Office Word</Application>
  <DocSecurity>0</DocSecurity>
  <Lines>62</Lines>
  <Paragraphs>17</Paragraphs>
  <ScaleCrop>false</ScaleCrop>
  <Company>Banque de France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ACPR</dc:creator>
  <cp:keywords/>
  <dc:description/>
  <cp:lastModifiedBy>URI Julien (UA 2513)</cp:lastModifiedBy>
  <cp:revision>6</cp:revision>
  <dcterms:created xsi:type="dcterms:W3CDTF">2023-03-30T09:20:00Z</dcterms:created>
  <dcterms:modified xsi:type="dcterms:W3CDTF">2023-03-30T16:59:00Z</dcterms:modified>
</cp:coreProperties>
</file>